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IGBT器件</w:t>
      </w:r>
      <w:r>
        <w:rPr>
          <w:rFonts w:hint="eastAsia" w:eastAsia="黑体"/>
          <w:sz w:val="36"/>
          <w:szCs w:val="36"/>
          <w:lang w:eastAsia="zh-CN"/>
        </w:rPr>
        <w:t>“一条龙”</w:t>
      </w:r>
      <w:r>
        <w:rPr>
          <w:rFonts w:eastAsia="黑体"/>
          <w:sz w:val="36"/>
          <w:szCs w:val="36"/>
        </w:rPr>
        <w:t>应用计划申报要求</w:t>
      </w:r>
    </w:p>
    <w:p>
      <w:pPr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产业链构成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eastAsia="仿宋_GB2312"/>
          <w:sz w:val="32"/>
          <w:szCs w:val="28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eastAsia="仿宋_GB2312"/>
          <w:sz w:val="32"/>
          <w:szCs w:val="28"/>
        </w:rPr>
        <w:t>瞄准</w:t>
      </w:r>
      <w:r>
        <w:rPr>
          <w:rFonts w:eastAsia="仿宋_GB2312"/>
          <w:sz w:val="32"/>
          <w:szCs w:val="28"/>
        </w:rPr>
        <w:t>智能电网、轨道交通和新能源汽车行业</w:t>
      </w:r>
      <w:r>
        <w:rPr>
          <w:rFonts w:hint="eastAsia" w:eastAsia="仿宋_GB2312"/>
          <w:sz w:val="32"/>
          <w:szCs w:val="28"/>
        </w:rPr>
        <w:t>等终端用户</w:t>
      </w:r>
      <w:r>
        <w:rPr>
          <w:rFonts w:eastAsia="仿宋_GB2312"/>
          <w:sz w:val="32"/>
          <w:szCs w:val="28"/>
        </w:rPr>
        <w:t>，以</w:t>
      </w:r>
      <w:r>
        <w:rPr>
          <w:rFonts w:hint="eastAsia" w:eastAsia="仿宋_GB2312"/>
          <w:sz w:val="32"/>
          <w:szCs w:val="28"/>
        </w:rPr>
        <w:t>产业链</w:t>
      </w:r>
      <w:r>
        <w:rPr>
          <w:rFonts w:eastAsia="仿宋_GB2312"/>
          <w:sz w:val="32"/>
          <w:szCs w:val="28"/>
        </w:rPr>
        <w:t>上下游供</w:t>
      </w:r>
      <w:r>
        <w:rPr>
          <w:rFonts w:hint="eastAsia" w:eastAsia="仿宋_GB2312"/>
          <w:sz w:val="32"/>
          <w:szCs w:val="28"/>
        </w:rPr>
        <w:t>需</w:t>
      </w:r>
      <w:r>
        <w:rPr>
          <w:rFonts w:eastAsia="仿宋_GB2312"/>
          <w:sz w:val="32"/>
          <w:szCs w:val="28"/>
        </w:rPr>
        <w:t>能力为</w:t>
      </w:r>
      <w:r>
        <w:rPr>
          <w:rFonts w:hint="eastAsia" w:eastAsia="仿宋_GB2312"/>
          <w:sz w:val="32"/>
          <w:szCs w:val="28"/>
        </w:rPr>
        <w:t>基础</w:t>
      </w:r>
      <w:r>
        <w:rPr>
          <w:rFonts w:eastAsia="仿宋_GB2312"/>
          <w:sz w:val="32"/>
          <w:szCs w:val="28"/>
        </w:rPr>
        <w:t>，应用为导向，针对</w:t>
      </w:r>
      <w:r>
        <w:rPr>
          <w:rFonts w:hint="eastAsia" w:eastAsia="仿宋_GB2312"/>
          <w:sz w:val="32"/>
          <w:szCs w:val="28"/>
        </w:rPr>
        <w:t>关键</w:t>
      </w:r>
      <w:r>
        <w:rPr>
          <w:rFonts w:eastAsia="仿宋_GB2312"/>
          <w:sz w:val="32"/>
          <w:szCs w:val="28"/>
        </w:rPr>
        <w:t>环节重点基础产品、工艺，推动相关重点项目建设</w:t>
      </w:r>
      <w:r>
        <w:rPr>
          <w:rFonts w:hint="eastAsia" w:eastAsia="仿宋_GB2312"/>
          <w:sz w:val="32"/>
          <w:szCs w:val="28"/>
        </w:rPr>
        <w:t>和技术突破</w:t>
      </w:r>
      <w:r>
        <w:rPr>
          <w:rFonts w:eastAsia="仿宋_GB2312"/>
          <w:sz w:val="32"/>
          <w:szCs w:val="28"/>
        </w:rPr>
        <w:t>，形成上下游产业对接的</w:t>
      </w:r>
      <w:r>
        <w:rPr>
          <w:rFonts w:hint="eastAsia" w:eastAsia="仿宋_GB2312"/>
          <w:sz w:val="32"/>
          <w:szCs w:val="28"/>
          <w:lang w:eastAsia="zh-CN"/>
        </w:rPr>
        <w:t>“一条龙”</w:t>
      </w:r>
      <w:r>
        <w:rPr>
          <w:rFonts w:eastAsia="仿宋_GB2312"/>
          <w:sz w:val="32"/>
          <w:szCs w:val="28"/>
        </w:rPr>
        <w:t>应用示范链条，</w:t>
      </w:r>
      <w:r>
        <w:rPr>
          <w:rFonts w:hint="eastAsia" w:eastAsia="仿宋_GB2312"/>
          <w:sz w:val="32"/>
          <w:szCs w:val="28"/>
        </w:rPr>
        <w:t>解决我国能源交换与传输技术的瓶颈。</w:t>
      </w:r>
      <w:r>
        <w:rPr>
          <w:rFonts w:eastAsia="仿宋_GB2312"/>
          <w:sz w:val="32"/>
          <w:szCs w:val="28"/>
        </w:rPr>
        <w:t>同时</w:t>
      </w:r>
      <w:r>
        <w:rPr>
          <w:rFonts w:hint="eastAsia" w:eastAsia="仿宋_GB2312"/>
          <w:sz w:val="32"/>
          <w:szCs w:val="28"/>
        </w:rPr>
        <w:t>，按照</w:t>
      </w:r>
      <w:r>
        <w:rPr>
          <w:rFonts w:eastAsia="仿宋_GB2312"/>
          <w:sz w:val="32"/>
          <w:szCs w:val="28"/>
        </w:rPr>
        <w:t>“以我为主、兼收并蓄”</w:t>
      </w:r>
      <w:r>
        <w:rPr>
          <w:rFonts w:hint="eastAsia" w:eastAsia="仿宋_GB2312"/>
          <w:sz w:val="32"/>
          <w:szCs w:val="28"/>
        </w:rPr>
        <w:t>的</w:t>
      </w:r>
      <w:r>
        <w:rPr>
          <w:rFonts w:eastAsia="仿宋_GB2312"/>
          <w:sz w:val="32"/>
          <w:szCs w:val="28"/>
        </w:rPr>
        <w:t>原则</w:t>
      </w:r>
      <w:r>
        <w:rPr>
          <w:rFonts w:hint="eastAsia" w:eastAsia="仿宋_GB2312"/>
          <w:sz w:val="32"/>
          <w:szCs w:val="28"/>
        </w:rPr>
        <w:t>，推进</w:t>
      </w:r>
      <w:r>
        <w:rPr>
          <w:rFonts w:eastAsia="仿宋_GB2312"/>
          <w:sz w:val="32"/>
          <w:szCs w:val="28"/>
        </w:rPr>
        <w:t>产学研用国际化协同创新，</w:t>
      </w:r>
      <w:r>
        <w:rPr>
          <w:rFonts w:hint="eastAsia" w:eastAsia="仿宋_GB2312"/>
          <w:sz w:val="32"/>
          <w:szCs w:val="28"/>
        </w:rPr>
        <w:t>深化</w:t>
      </w:r>
      <w:r>
        <w:rPr>
          <w:rFonts w:eastAsia="仿宋_GB2312"/>
          <w:sz w:val="32"/>
          <w:szCs w:val="28"/>
        </w:rPr>
        <w:t>产业链协作。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关键产</w:t>
      </w:r>
      <w:r>
        <w:rPr>
          <w:rFonts w:hint="eastAsia" w:eastAsia="黑体"/>
          <w:sz w:val="28"/>
          <w:szCs w:val="28"/>
        </w:rPr>
        <w:t>业</w:t>
      </w:r>
      <w:r>
        <w:rPr>
          <w:rFonts w:eastAsia="黑体"/>
          <w:sz w:val="28"/>
          <w:szCs w:val="28"/>
        </w:rPr>
        <w:t>链条环节</w:t>
      </w:r>
    </w:p>
    <w:tbl>
      <w:tblPr>
        <w:tblStyle w:val="9"/>
        <w:tblW w:w="8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673"/>
        <w:gridCol w:w="1741"/>
        <w:gridCol w:w="1705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产业链环节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新能源汽车用IGBT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智能电网用IGBT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轨道交通用IGBT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上游材料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IGBT设计、芯片制造、模块生产及IDM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生产设备制造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4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下游应用的配套器件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华文仿宋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目标</w:t>
      </w:r>
      <w:r>
        <w:rPr>
          <w:rFonts w:eastAsia="黑体"/>
          <w:bCs/>
          <w:kern w:val="0"/>
          <w:sz w:val="32"/>
          <w:szCs w:val="32"/>
        </w:rPr>
        <w:t>和任务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楷体"/>
          <w:b/>
          <w:sz w:val="30"/>
          <w:szCs w:val="30"/>
        </w:rPr>
      </w:pPr>
      <w:r>
        <w:rPr>
          <w:rFonts w:hint="eastAsia" w:eastAsia="楷体"/>
          <w:b/>
          <w:sz w:val="30"/>
          <w:szCs w:val="30"/>
        </w:rPr>
        <w:t>上游材料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b/>
          <w:sz w:val="30"/>
          <w:szCs w:val="30"/>
        </w:rPr>
      </w:pPr>
      <w:r>
        <w:rPr>
          <w:rFonts w:hint="eastAsia" w:eastAsia="仿宋"/>
          <w:b/>
          <w:sz w:val="30"/>
          <w:szCs w:val="30"/>
        </w:rPr>
        <w:t>电力电子器件及功率模块（大功率IGBT）封装用DBC基板─高纯无氧铜箔。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楷体"/>
          <w:bCs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开发出符合使用要求的</w:t>
      </w:r>
      <w:r>
        <w:rPr>
          <w:rFonts w:eastAsia="仿宋"/>
          <w:sz w:val="30"/>
          <w:szCs w:val="30"/>
        </w:rPr>
        <w:t>DBC</w:t>
      </w:r>
      <w:r>
        <w:rPr>
          <w:rFonts w:hint="eastAsia" w:eastAsia="仿宋"/>
          <w:sz w:val="30"/>
          <w:szCs w:val="30"/>
        </w:rPr>
        <w:t>用高纯无氧铜箔产品，支撑我国功率集成电路与大功率器件产业发展。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楷体"/>
          <w:b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eastAsia="仿宋"/>
          <w:sz w:val="30"/>
          <w:szCs w:val="30"/>
        </w:rPr>
        <w:t>电力电子器件及功率模块（大功率IGBT）封装用DBC基板─高纯无氧铜箔。化学成分：全元素分析（GDMS法）杂质元素（不含气体元素）≤10ppm，O含量≤5ppm；显微组织：平均晶粒尺寸≤70μm，960℃下10分钟退火平均晶粒尺寸≤100μm；抗拉强度：330～370MPa；硬度HV1：105～120；导电率（%IACS）：101；铜箔厚度：0.1～0.7mm；铜箔表面粗糙度：≤0.4μm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b/>
          <w:sz w:val="30"/>
          <w:szCs w:val="30"/>
        </w:rPr>
      </w:pPr>
      <w:r>
        <w:rPr>
          <w:rFonts w:hint="eastAsia" w:eastAsia="仿宋"/>
          <w:b/>
          <w:sz w:val="30"/>
          <w:szCs w:val="30"/>
        </w:rPr>
        <w:t>电力电子器件用平板全压接陶瓷结构件。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实现平板全压接多台架精密陶瓷结构件产业化生产能力，满足用于柔性高压直流输电、轨道交通IGBT的需求。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楷体"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eastAsia="仿宋"/>
          <w:sz w:val="30"/>
          <w:szCs w:val="30"/>
        </w:rPr>
        <w:t>平板全压接多台架精密陶瓷结构件：直径≥125mm，耐压≥12kV，绝缘电阻≥15MΩ，平整度≤0.005mm，平行度≤0.03mm，粗糙度Ra≤0.5µm，漏率≤1×10-9Pam3/s，抗拉力≥12kN。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IGBT设计、芯片制造、模块生产及IDM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智能电网基础支撑技术用柔性高压直流输电高电压、大电流IGBT器件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eastAsia="仿宋"/>
          <w:sz w:val="30"/>
          <w:szCs w:val="30"/>
        </w:rPr>
        <w:t>实现压接型定制化超大功率IGBT关键技术，并完成验证工作。具体包括：不同类型柔性直流输电装备与压接型定制化超大功率IGBT联合仿真与协同优化设计技术；超大功率IGBT封装并联均流控制及多物理场分析，高电压串联用驱动保护与封装一体化及电磁兼容技术，压接型封装绝缘体系；压接型定制化超大功率IGBT测试技术和可靠性技术；压接型定制化超大功率IGBT在直流断路器和柔性直流换流阀中应用验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eastAsia="仿宋"/>
          <w:sz w:val="30"/>
          <w:szCs w:val="30"/>
        </w:rPr>
        <w:t>压接型定制化IGBT器件参数不低于3300V/3000A，低通态压降IGBT的通态压降低于2.8V，高关断能力IGBT的短路电流大于18000A。15kV碳化硅IGBT芯片电流不低于10A、器件电流不低于100A。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轨道交通用高压大容量IGBT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IGBT器件作为轨道交通装备的“核芯”，被誉为轨道交通装备的“CPU”。IGBT作为电力电子技术的核心器件，其对变流装置及应用系统的产业拉动作用为1:10:100。以城市轨道交通应用为源头，实现3.3kV和6.5kV高频高压混合SiC IGBT及SiC MOSFET器件、驱动和变流装置的技术突破，推动轨道交通装备高频化、轻量化方向发展。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eastAsia="仿宋"/>
          <w:sz w:val="30"/>
          <w:szCs w:val="30"/>
        </w:rPr>
        <w:t>3300V/50A SiC MOSFET器件及3300V/1500A SiC MOSFET功率模块；6500V/35A SiC IGBT类器件及6500V/400A SiC IGBT类功率模块；10kV/20A SiC IGBT类芯片。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新能源汽车用IGBT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提高IGBT、FRD芯片和器件性能，满足电动汽车工作条件的严酷性和复杂性功能要求，降低成本，实现在电动汽车领域的规模应用。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eastAsia="仿宋"/>
          <w:sz w:val="30"/>
          <w:szCs w:val="30"/>
        </w:rPr>
        <w:t>电动汽车用IGBT模块，集成热管理功能，电压等级600～800V，额定电流800A，导通压降≤1.55V。电动汽车用IGBT组件，集成热管理、驱动电路与传感器，电压等级600～800V，额定电流800A，导通压降≤1.55V。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IGBT生产设备制造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楷体"/>
          <w:bCs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实现12英寸封装关键设备国产化。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减薄机，300mm 超薄晶圆减薄抛光一体机。光刻机，可满足200 mm 及300 mm 硅片封装工艺要求。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楷体"/>
          <w:b/>
          <w:sz w:val="30"/>
          <w:szCs w:val="30"/>
        </w:rPr>
      </w:pPr>
      <w:r>
        <w:rPr>
          <w:rFonts w:hint="eastAsia" w:eastAsia="楷体"/>
          <w:b/>
          <w:sz w:val="30"/>
          <w:szCs w:val="30"/>
        </w:rPr>
        <w:t>下游应用的配套器件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开发高效率、高功率密度的功率半导体器件，低感、低热阻无源器件，高集成度的功率组件和高功率密度电机控制器。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电机控制器峰值功率密度≥17kW/L，最高效率≥98.5%，匹配电机额定功率20-60kW，功能安全满足ISO26262标准ASCIL C级的要求，设计寿命达到15年或40万公里。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中国企业联合会</w:t>
      </w:r>
      <w:r>
        <w:rPr>
          <w:rFonts w:hint="eastAsia" w:eastAsia="仿宋_GB2312"/>
          <w:sz w:val="32"/>
          <w:szCs w:val="28"/>
        </w:rPr>
        <w:t xml:space="preserve">  </w:t>
      </w:r>
      <w:r>
        <w:rPr>
          <w:rFonts w:eastAsia="仿宋_GB2312"/>
          <w:sz w:val="32"/>
          <w:szCs w:val="28"/>
        </w:rPr>
        <w:t>李</w:t>
      </w:r>
      <w:r>
        <w:rPr>
          <w:rFonts w:hint="eastAsia" w:eastAsia="仿宋_GB2312"/>
          <w:sz w:val="32"/>
          <w:szCs w:val="28"/>
        </w:rPr>
        <w:t xml:space="preserve">  </w:t>
      </w:r>
      <w:r>
        <w:rPr>
          <w:rFonts w:eastAsia="仿宋_GB2312"/>
          <w:sz w:val="32"/>
          <w:szCs w:val="28"/>
        </w:rPr>
        <w:t>红</w:t>
      </w:r>
      <w:r>
        <w:rPr>
          <w:rFonts w:hint="eastAsia" w:eastAsia="仿宋_GB2312"/>
          <w:sz w:val="32"/>
          <w:szCs w:val="28"/>
        </w:rPr>
        <w:t xml:space="preserve">  </w:t>
      </w:r>
      <w:r>
        <w:rPr>
          <w:rFonts w:eastAsia="仿宋_GB2312"/>
          <w:sz w:val="32"/>
          <w:szCs w:val="28"/>
        </w:rPr>
        <w:t xml:space="preserve"> 010-68418109</w:t>
      </w:r>
      <w:r>
        <w:rPr>
          <w:rFonts w:hint="eastAsia" w:eastAsia="仿宋_GB2312"/>
          <w:sz w:val="32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附：IGBT器件</w:t>
      </w:r>
      <w:r>
        <w:rPr>
          <w:rFonts w:hint="eastAsia" w:eastAsia="仿宋_GB2312"/>
          <w:sz w:val="32"/>
          <w:szCs w:val="28"/>
          <w:lang w:eastAsia="zh-CN"/>
        </w:rPr>
        <w:t>“一条龙”</w:t>
      </w:r>
      <w:r>
        <w:rPr>
          <w:rFonts w:eastAsia="仿宋_GB2312"/>
          <w:sz w:val="32"/>
          <w:szCs w:val="28"/>
        </w:rPr>
        <w:t>应用计划申报书</w:t>
      </w:r>
    </w:p>
    <w:p>
      <w:pPr>
        <w:pStyle w:val="13"/>
        <w:spacing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8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附</w:t>
      </w:r>
    </w:p>
    <w:p>
      <w:pPr/>
    </w:p>
    <w:p>
      <w:pPr/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t>IGBT器件</w:t>
      </w:r>
      <w:r>
        <w:rPr>
          <w:rFonts w:hint="eastAsia" w:eastAsia="黑体"/>
          <w:b/>
          <w:bCs/>
          <w:sz w:val="44"/>
          <w:lang w:eastAsia="zh-CN"/>
        </w:rPr>
        <w:t>“一条龙”</w:t>
      </w:r>
      <w:r>
        <w:rPr>
          <w:rFonts w:eastAsia="黑体"/>
          <w:b/>
          <w:bCs/>
          <w:sz w:val="44"/>
        </w:rPr>
        <w:t>应用计划申报书</w:t>
      </w: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企业名称：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责任人（法人代表）：</w:t>
      </w:r>
      <w:r>
        <w:rPr>
          <w:rFonts w:eastAsia="黑体"/>
          <w:sz w:val="30"/>
          <w:szCs w:val="30"/>
          <w:u w:val="single"/>
        </w:rPr>
        <w:t xml:space="preserve">                         </w:t>
      </w:r>
    </w:p>
    <w:p>
      <w:pPr>
        <w:spacing w:line="480" w:lineRule="auto"/>
        <w:ind w:firstLine="576" w:firstLineChars="192"/>
        <w:rPr>
          <w:rFonts w:eastAsia="黑体"/>
          <w:color w:val="FF0000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项目技术负责人：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实施年限：20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月至20</w:t>
      </w:r>
      <w:r>
        <w:rPr>
          <w:rFonts w:eastAsia="黑体"/>
          <w:sz w:val="30"/>
          <w:szCs w:val="30"/>
          <w:u w:val="single"/>
          <w:lang w:val="zh-CN"/>
        </w:rPr>
        <w:t xml:space="preserve"> 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  <w:u w:val="single"/>
          <w:lang w:val="zh-CN"/>
        </w:rPr>
        <w:t xml:space="preserve">    </w:t>
      </w:r>
      <w:r>
        <w:rPr>
          <w:rFonts w:eastAsia="黑体"/>
          <w:sz w:val="30"/>
          <w:szCs w:val="30"/>
          <w:lang w:val="zh-CN"/>
        </w:rPr>
        <w:t>月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填报日期：20</w:t>
      </w:r>
      <w:r>
        <w:rPr>
          <w:rFonts w:eastAsia="黑体"/>
          <w:sz w:val="30"/>
          <w:szCs w:val="30"/>
          <w:u w:val="single"/>
          <w:lang w:val="zh-CN"/>
        </w:rPr>
        <w:t xml:space="preserve">  </w:t>
      </w:r>
      <w:r>
        <w:rPr>
          <w:rFonts w:eastAsia="黑体"/>
          <w:sz w:val="30"/>
          <w:szCs w:val="30"/>
          <w:u w:val="single"/>
        </w:rPr>
        <w:t xml:space="preserve">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中华人民共和国工业和信息化部制</w:t>
      </w:r>
    </w:p>
    <w:p>
      <w:pPr>
        <w:spacing w:line="360" w:lineRule="auto"/>
        <w:jc w:val="center"/>
        <w:rPr>
          <w:rFonts w:eastAsia="黑体"/>
          <w:sz w:val="30"/>
          <w:szCs w:val="30"/>
        </w:rPr>
        <w:sectPr>
          <w:headerReference r:id="rId3" w:type="default"/>
          <w:footerReference r:id="rId4" w:type="default"/>
          <w:pgSz w:w="11850" w:h="16783"/>
          <w:pgMar w:top="1587" w:right="1474" w:bottom="1474" w:left="1587" w:header="851" w:footer="992" w:gutter="0"/>
          <w:cols w:space="720" w:num="1"/>
          <w:docGrid w:type="lines" w:linePitch="312" w:charSpace="0"/>
        </w:sectPr>
      </w:pPr>
      <w:r>
        <w:rPr>
          <w:rFonts w:eastAsia="黑体"/>
          <w:sz w:val="30"/>
          <w:szCs w:val="30"/>
        </w:rPr>
        <w:t>二〇    年    月</w:t>
      </w:r>
    </w:p>
    <w:tbl>
      <w:tblPr>
        <w:tblStyle w:val="9"/>
        <w:tblW w:w="9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293"/>
        <w:gridCol w:w="345"/>
        <w:gridCol w:w="556"/>
        <w:gridCol w:w="516"/>
        <w:gridCol w:w="243"/>
        <w:gridCol w:w="88"/>
        <w:gridCol w:w="1094"/>
        <w:gridCol w:w="1059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单位名称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注册地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机构代码</w:t>
            </w:r>
          </w:p>
        </w:tc>
        <w:tc>
          <w:tcPr>
            <w:tcW w:w="1554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项目名称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</w:rPr>
              <w:t>项目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实施期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pStyle w:val="12"/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    月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</w:tc>
        <w:tc>
          <w:tcPr>
            <w:tcW w:w="3194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□新能源汽车用IGBT产业链</w:t>
            </w:r>
          </w:p>
        </w:tc>
        <w:tc>
          <w:tcPr>
            <w:tcW w:w="4554" w:type="dxa"/>
            <w:gridSpan w:val="6"/>
            <w:tcBorders>
              <w:left w:val="nil"/>
              <w:bottom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智能电网用IGBT产业链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黑体"/>
              </w:rPr>
            </w:pPr>
          </w:p>
        </w:tc>
        <w:tc>
          <w:tcPr>
            <w:tcW w:w="3194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□轨道交通用IGBT产业链</w:t>
            </w:r>
          </w:p>
        </w:tc>
        <w:tc>
          <w:tcPr>
            <w:tcW w:w="4554" w:type="dxa"/>
            <w:gridSpan w:val="6"/>
            <w:tcBorders>
              <w:top w:val="nil"/>
              <w:lef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关键环节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 上游材料</w:t>
            </w:r>
          </w:p>
        </w:tc>
        <w:tc>
          <w:tcPr>
            <w:tcW w:w="5110" w:type="dxa"/>
            <w:gridSpan w:val="7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□IGBT设计、芯片制造、模块生产及IDM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72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 生产设备</w:t>
            </w:r>
          </w:p>
        </w:tc>
        <w:tc>
          <w:tcPr>
            <w:tcW w:w="5110" w:type="dxa"/>
            <w:gridSpan w:val="7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□下游配套器件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所属产品</w:t>
            </w:r>
          </w:p>
        </w:tc>
        <w:tc>
          <w:tcPr>
            <w:tcW w:w="37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□封装用铜箔</w:t>
            </w:r>
          </w:p>
        </w:tc>
        <w:tc>
          <w:tcPr>
            <w:tcW w:w="4038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□陶瓷结构件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□IGBT芯片／IGBT模块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□IGBT模块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□封装设备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 新能源汽车</w:t>
            </w:r>
            <w:r>
              <w:rPr>
                <w:rFonts w:hint="eastAsia" w:ascii="Times New Roman" w:hAnsi="Times New Roman" w:eastAsia="仿宋"/>
                <w:color w:val="auto"/>
                <w:sz w:val="21"/>
              </w:rPr>
              <w:t>电机控制器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实  施  期</w:t>
            </w:r>
          </w:p>
        </w:tc>
        <w:tc>
          <w:tcPr>
            <w:tcW w:w="7748" w:type="dxa"/>
            <w:gridSpan w:val="9"/>
            <w:vAlign w:val="center"/>
          </w:tcPr>
          <w:p>
            <w:pPr>
              <w:pStyle w:val="12"/>
              <w:snapToGrid w:val="0"/>
              <w:ind w:firstLine="1260" w:firstLineChars="6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    月 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主要负责人</w:t>
            </w:r>
          </w:p>
        </w:tc>
        <w:tc>
          <w:tcPr>
            <w:tcW w:w="2293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联系电话（手机）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电子邮箱</w:t>
            </w:r>
          </w:p>
        </w:tc>
        <w:tc>
          <w:tcPr>
            <w:tcW w:w="2293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传   真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269" w:type="dxa"/>
            <w:gridSpan w:val="10"/>
            <w:vAlign w:val="top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参与单位满足所属</w:t>
            </w:r>
            <w:r>
              <w:rPr>
                <w:rFonts w:hint="eastAsia" w:ascii="Times New Roman" w:hAnsi="Times New Roman" w:eastAsia="黑体"/>
                <w:color w:val="auto"/>
                <w:sz w:val="21"/>
                <w:lang w:eastAsia="zh-CN"/>
              </w:rPr>
              <w:t>“一条龙”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环节</w:t>
            </w:r>
            <w:r>
              <w:rPr>
                <w:rFonts w:hint="eastAsia" w:ascii="Times New Roman" w:hAnsi="Times New Roman" w:eastAsia="黑体"/>
                <w:color w:val="auto"/>
                <w:sz w:val="21"/>
              </w:rPr>
              <w:t>供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需概述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（包括：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企业基本情况；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重点产品、工艺符合性质，与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eastAsia="zh-CN"/>
              </w:rPr>
              <w:t>“一条龙”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其他环节在产品、工艺上的直接关联性；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创新能力、产品技术和工艺水平领先情况；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对产业链上游的需求，以及对下游可提供的产品或服务；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近年来企业产品和技术实际使用和应用情况；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近三年经营业绩，遵纪守法情况，管理制度建设情况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，包括不限于以下内容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2014、2015、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2016年企业情况</w:t>
            </w:r>
          </w:p>
          <w:tbl>
            <w:tblPr>
              <w:tblStyle w:val="10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4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技术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研发投入占营收比例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当年申请专利数，截至年底累计授权专利数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市场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细分领域市场份额、市场排名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财务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总资产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资产负债率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年度营业收入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年度净利润</w:t>
                  </w:r>
                </w:p>
              </w:tc>
            </w:tr>
          </w:tbl>
          <w:p>
            <w:pPr>
              <w:pStyle w:val="12"/>
              <w:numPr>
                <w:ilvl w:val="0"/>
                <w:numId w:val="0"/>
              </w:numPr>
              <w:snapToGrid w:val="0"/>
              <w:ind w:left="420"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企业参与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eastAsia="zh-CN"/>
              </w:rPr>
              <w:t>“一条龙”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应用计划的运行工作机制及措施；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推荐的龙头企业、参与单位和示范工程；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存在的问题和建议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等）。</w:t>
            </w: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269" w:type="dxa"/>
            <w:gridSpan w:val="10"/>
            <w:vAlign w:val="top"/>
          </w:tcPr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项目基本情况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（总投资、主要建设内容、预期效果等），并填列下表：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项目目前情况</w:t>
            </w:r>
          </w:p>
          <w:tbl>
            <w:tblPr>
              <w:tblStyle w:val="10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5"/>
              <w:gridCol w:w="40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项目成熟度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是否已经完成可研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项目总投资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总投资额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项目资本金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项目资本金额度</w:t>
                  </w:r>
                </w:p>
              </w:tc>
            </w:tr>
          </w:tbl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</w:t>
            </w:r>
          </w:p>
          <w:p>
            <w:pPr>
              <w:pStyle w:val="12"/>
              <w:snapToGrid w:val="0"/>
              <w:jc w:val="center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自评意见</w:t>
            </w:r>
          </w:p>
        </w:tc>
        <w:tc>
          <w:tcPr>
            <w:tcW w:w="7748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本单位承诺申报内容真实有效。</w:t>
            </w: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法定代表人（签字）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（盖章）</w:t>
            </w: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                          年   月   日</w:t>
            </w:r>
          </w:p>
        </w:tc>
      </w:tr>
    </w:tbl>
    <w:p>
      <w:pPr>
        <w:spacing w:line="460" w:lineRule="exact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5" w:type="default"/>
      <w:pgSz w:w="11906" w:h="16838"/>
      <w:pgMar w:top="1417" w:right="1361" w:bottom="1417" w:left="136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modern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swiss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decorative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roman"/>
    <w:pitch w:val="default"/>
    <w:sig w:usb0="0004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AJOjfI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lang w:val="zh-CN" w:eastAsia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Br6tZR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lang w:val="zh-CN" w:eastAsia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52213931">
    <w:nsid w:val="1AF43CAB"/>
    <w:multiLevelType w:val="singleLevel"/>
    <w:tmpl w:val="1AF43CAB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01598347">
    <w:nsid w:val="5980928B"/>
    <w:multiLevelType w:val="singleLevel"/>
    <w:tmpl w:val="5980928B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01599566">
    <w:nsid w:val="5980974E"/>
    <w:multiLevelType w:val="singleLevel"/>
    <w:tmpl w:val="5980974E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01515486">
    <w:nsid w:val="597F4EDE"/>
    <w:multiLevelType w:val="singleLevel"/>
    <w:tmpl w:val="597F4EDE"/>
    <w:lvl w:ilvl="0" w:tentative="1">
      <w:start w:val="1"/>
      <w:numFmt w:val="decimal"/>
      <w:suff w:val="nothing"/>
      <w:lvlText w:val="%1."/>
      <w:lvlJc w:val="left"/>
    </w:lvl>
  </w:abstractNum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0"/>
  </w:num>
  <w:num w:numId="2">
    <w:abstractNumId w:val="1501598347"/>
  </w:num>
  <w:num w:numId="3">
    <w:abstractNumId w:val="1501599566"/>
  </w:num>
  <w:num w:numId="4">
    <w:abstractNumId w:val="452213931"/>
  </w:num>
  <w:num w:numId="5">
    <w:abstractNumId w:val="15015154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trackedChanges"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4A8"/>
    <w:rsid w:val="00025109"/>
    <w:rsid w:val="00032641"/>
    <w:rsid w:val="00035FB1"/>
    <w:rsid w:val="00044E95"/>
    <w:rsid w:val="00050BF3"/>
    <w:rsid w:val="00064209"/>
    <w:rsid w:val="00074711"/>
    <w:rsid w:val="000A59A4"/>
    <w:rsid w:val="000E2917"/>
    <w:rsid w:val="000E6BF6"/>
    <w:rsid w:val="00100956"/>
    <w:rsid w:val="00113720"/>
    <w:rsid w:val="00127279"/>
    <w:rsid w:val="00133CBD"/>
    <w:rsid w:val="001534D9"/>
    <w:rsid w:val="001552AE"/>
    <w:rsid w:val="001901CF"/>
    <w:rsid w:val="001B4BD6"/>
    <w:rsid w:val="001C4A56"/>
    <w:rsid w:val="001E69E0"/>
    <w:rsid w:val="001F27CC"/>
    <w:rsid w:val="0021775E"/>
    <w:rsid w:val="0022665E"/>
    <w:rsid w:val="00247DB8"/>
    <w:rsid w:val="002547B5"/>
    <w:rsid w:val="0026087F"/>
    <w:rsid w:val="00262147"/>
    <w:rsid w:val="00272E62"/>
    <w:rsid w:val="00273C44"/>
    <w:rsid w:val="00273E1B"/>
    <w:rsid w:val="002850F1"/>
    <w:rsid w:val="002D136F"/>
    <w:rsid w:val="002D1CEA"/>
    <w:rsid w:val="002D64CB"/>
    <w:rsid w:val="002F0E1F"/>
    <w:rsid w:val="00314832"/>
    <w:rsid w:val="00341340"/>
    <w:rsid w:val="003559D8"/>
    <w:rsid w:val="00362520"/>
    <w:rsid w:val="00362D54"/>
    <w:rsid w:val="003A391C"/>
    <w:rsid w:val="003A47FB"/>
    <w:rsid w:val="003B3792"/>
    <w:rsid w:val="003C2582"/>
    <w:rsid w:val="003E6B42"/>
    <w:rsid w:val="004122F4"/>
    <w:rsid w:val="0041490E"/>
    <w:rsid w:val="0041769C"/>
    <w:rsid w:val="00423EE7"/>
    <w:rsid w:val="0045395E"/>
    <w:rsid w:val="004732B7"/>
    <w:rsid w:val="00482423"/>
    <w:rsid w:val="004A1C02"/>
    <w:rsid w:val="004C084F"/>
    <w:rsid w:val="004C73A5"/>
    <w:rsid w:val="004D4776"/>
    <w:rsid w:val="004E48D9"/>
    <w:rsid w:val="004F6EF4"/>
    <w:rsid w:val="00504B55"/>
    <w:rsid w:val="00504FCB"/>
    <w:rsid w:val="00512160"/>
    <w:rsid w:val="0052245E"/>
    <w:rsid w:val="00522B8F"/>
    <w:rsid w:val="00524D96"/>
    <w:rsid w:val="00526724"/>
    <w:rsid w:val="0053342B"/>
    <w:rsid w:val="00537567"/>
    <w:rsid w:val="005467F8"/>
    <w:rsid w:val="00551FC9"/>
    <w:rsid w:val="00582612"/>
    <w:rsid w:val="00583BEC"/>
    <w:rsid w:val="00585E14"/>
    <w:rsid w:val="0059229B"/>
    <w:rsid w:val="005B4972"/>
    <w:rsid w:val="005C78D8"/>
    <w:rsid w:val="005D7600"/>
    <w:rsid w:val="006151D7"/>
    <w:rsid w:val="00620FC9"/>
    <w:rsid w:val="0067315E"/>
    <w:rsid w:val="0067736D"/>
    <w:rsid w:val="006E2A2F"/>
    <w:rsid w:val="006F08D0"/>
    <w:rsid w:val="006F3059"/>
    <w:rsid w:val="006F60E5"/>
    <w:rsid w:val="00702D62"/>
    <w:rsid w:val="00731CD7"/>
    <w:rsid w:val="00733471"/>
    <w:rsid w:val="00753827"/>
    <w:rsid w:val="0076187B"/>
    <w:rsid w:val="00765B87"/>
    <w:rsid w:val="0079188A"/>
    <w:rsid w:val="00792564"/>
    <w:rsid w:val="007950D4"/>
    <w:rsid w:val="00796150"/>
    <w:rsid w:val="007C725F"/>
    <w:rsid w:val="007E3F52"/>
    <w:rsid w:val="00801EF5"/>
    <w:rsid w:val="00802B37"/>
    <w:rsid w:val="008306C7"/>
    <w:rsid w:val="00847A67"/>
    <w:rsid w:val="0085585F"/>
    <w:rsid w:val="00873C74"/>
    <w:rsid w:val="00886281"/>
    <w:rsid w:val="008B4FDB"/>
    <w:rsid w:val="008F4F74"/>
    <w:rsid w:val="00955655"/>
    <w:rsid w:val="009750FF"/>
    <w:rsid w:val="009D244A"/>
    <w:rsid w:val="009E1EE2"/>
    <w:rsid w:val="00A40793"/>
    <w:rsid w:val="00A55C0A"/>
    <w:rsid w:val="00A66958"/>
    <w:rsid w:val="00A732BA"/>
    <w:rsid w:val="00A81A55"/>
    <w:rsid w:val="00A82376"/>
    <w:rsid w:val="00A94C5A"/>
    <w:rsid w:val="00AA351A"/>
    <w:rsid w:val="00B57B36"/>
    <w:rsid w:val="00BA2AD1"/>
    <w:rsid w:val="00BC3668"/>
    <w:rsid w:val="00BE6D2F"/>
    <w:rsid w:val="00C0145B"/>
    <w:rsid w:val="00C070AA"/>
    <w:rsid w:val="00C26CB5"/>
    <w:rsid w:val="00C43A03"/>
    <w:rsid w:val="00C75792"/>
    <w:rsid w:val="00C76147"/>
    <w:rsid w:val="00CA5CA0"/>
    <w:rsid w:val="00CA65BF"/>
    <w:rsid w:val="00CA6884"/>
    <w:rsid w:val="00CB3D0C"/>
    <w:rsid w:val="00CC5BBA"/>
    <w:rsid w:val="00D307E5"/>
    <w:rsid w:val="00D319ED"/>
    <w:rsid w:val="00D52918"/>
    <w:rsid w:val="00D71758"/>
    <w:rsid w:val="00D816B7"/>
    <w:rsid w:val="00DB0617"/>
    <w:rsid w:val="00DE0B2C"/>
    <w:rsid w:val="00DF4F45"/>
    <w:rsid w:val="00E30FD9"/>
    <w:rsid w:val="00E41663"/>
    <w:rsid w:val="00E52467"/>
    <w:rsid w:val="00EB2E16"/>
    <w:rsid w:val="00EC23C5"/>
    <w:rsid w:val="00ED190E"/>
    <w:rsid w:val="00ED5AE3"/>
    <w:rsid w:val="00ED6DAA"/>
    <w:rsid w:val="00EE3F8D"/>
    <w:rsid w:val="00F00F40"/>
    <w:rsid w:val="00F07E3E"/>
    <w:rsid w:val="00F30615"/>
    <w:rsid w:val="00F5103D"/>
    <w:rsid w:val="00F76EC3"/>
    <w:rsid w:val="00F86E66"/>
    <w:rsid w:val="00FA4307"/>
    <w:rsid w:val="00FA44CB"/>
    <w:rsid w:val="00FA586D"/>
    <w:rsid w:val="00FB19E1"/>
    <w:rsid w:val="00FC379E"/>
    <w:rsid w:val="00FC53A1"/>
    <w:rsid w:val="00FE6E64"/>
    <w:rsid w:val="010121B4"/>
    <w:rsid w:val="014C132E"/>
    <w:rsid w:val="015064FA"/>
    <w:rsid w:val="02063FE0"/>
    <w:rsid w:val="026929FF"/>
    <w:rsid w:val="032B053F"/>
    <w:rsid w:val="03564C06"/>
    <w:rsid w:val="0361681B"/>
    <w:rsid w:val="0379612C"/>
    <w:rsid w:val="03D07BCF"/>
    <w:rsid w:val="03EC6E29"/>
    <w:rsid w:val="04743480"/>
    <w:rsid w:val="04846952"/>
    <w:rsid w:val="049C2D1F"/>
    <w:rsid w:val="04AD7E25"/>
    <w:rsid w:val="04B270C1"/>
    <w:rsid w:val="04C32BDF"/>
    <w:rsid w:val="04EA7426"/>
    <w:rsid w:val="05806815"/>
    <w:rsid w:val="058A4BA6"/>
    <w:rsid w:val="05965E3C"/>
    <w:rsid w:val="05C15818"/>
    <w:rsid w:val="05EB6B95"/>
    <w:rsid w:val="06A67C21"/>
    <w:rsid w:val="0709089A"/>
    <w:rsid w:val="07485E01"/>
    <w:rsid w:val="075E1997"/>
    <w:rsid w:val="075F590D"/>
    <w:rsid w:val="07B11FAD"/>
    <w:rsid w:val="07E53700"/>
    <w:rsid w:val="08055F53"/>
    <w:rsid w:val="086C26E0"/>
    <w:rsid w:val="087D2EC1"/>
    <w:rsid w:val="08FA104A"/>
    <w:rsid w:val="099D0853"/>
    <w:rsid w:val="0A2F7140"/>
    <w:rsid w:val="0A414C66"/>
    <w:rsid w:val="0A470CEC"/>
    <w:rsid w:val="0A476A44"/>
    <w:rsid w:val="0ABA568F"/>
    <w:rsid w:val="0B380B43"/>
    <w:rsid w:val="0B39050A"/>
    <w:rsid w:val="0B4A17EA"/>
    <w:rsid w:val="0B724FCA"/>
    <w:rsid w:val="0C3D5924"/>
    <w:rsid w:val="0CA04344"/>
    <w:rsid w:val="0CEB55C3"/>
    <w:rsid w:val="0D0F50D2"/>
    <w:rsid w:val="0D177805"/>
    <w:rsid w:val="0D631E83"/>
    <w:rsid w:val="0D6B5995"/>
    <w:rsid w:val="0DB51C8D"/>
    <w:rsid w:val="0E495C94"/>
    <w:rsid w:val="0F5A4EC3"/>
    <w:rsid w:val="10655CF3"/>
    <w:rsid w:val="10811DA0"/>
    <w:rsid w:val="11146D91"/>
    <w:rsid w:val="11723444"/>
    <w:rsid w:val="11D70154"/>
    <w:rsid w:val="11F62C07"/>
    <w:rsid w:val="120C3155"/>
    <w:rsid w:val="121C6FC0"/>
    <w:rsid w:val="1222607D"/>
    <w:rsid w:val="12711FAC"/>
    <w:rsid w:val="128072E8"/>
    <w:rsid w:val="129C0241"/>
    <w:rsid w:val="12B02035"/>
    <w:rsid w:val="12B620EE"/>
    <w:rsid w:val="12BC3045"/>
    <w:rsid w:val="12D83B22"/>
    <w:rsid w:val="12F066A2"/>
    <w:rsid w:val="14BD6892"/>
    <w:rsid w:val="14BE2452"/>
    <w:rsid w:val="150F669C"/>
    <w:rsid w:val="15D43E5C"/>
    <w:rsid w:val="15DC09C2"/>
    <w:rsid w:val="162E2DC7"/>
    <w:rsid w:val="163D7BDE"/>
    <w:rsid w:val="16F83FBE"/>
    <w:rsid w:val="17065C2D"/>
    <w:rsid w:val="172C5712"/>
    <w:rsid w:val="17527AB4"/>
    <w:rsid w:val="17A42783"/>
    <w:rsid w:val="17D96B2F"/>
    <w:rsid w:val="18126C7A"/>
    <w:rsid w:val="183304C3"/>
    <w:rsid w:val="184665F3"/>
    <w:rsid w:val="186A300B"/>
    <w:rsid w:val="18A93985"/>
    <w:rsid w:val="18AA2CBF"/>
    <w:rsid w:val="18BC5A90"/>
    <w:rsid w:val="18F61B8D"/>
    <w:rsid w:val="199003FF"/>
    <w:rsid w:val="19A37420"/>
    <w:rsid w:val="19CA019A"/>
    <w:rsid w:val="19D55493"/>
    <w:rsid w:val="1A1B2562"/>
    <w:rsid w:val="1A491DAC"/>
    <w:rsid w:val="1A736F59"/>
    <w:rsid w:val="1AA354A0"/>
    <w:rsid w:val="1AC9039E"/>
    <w:rsid w:val="1B142779"/>
    <w:rsid w:val="1B2A271F"/>
    <w:rsid w:val="1B6C0836"/>
    <w:rsid w:val="1BB81089"/>
    <w:rsid w:val="1BBF7DBD"/>
    <w:rsid w:val="1BEF11E3"/>
    <w:rsid w:val="1C197E29"/>
    <w:rsid w:val="1C29379F"/>
    <w:rsid w:val="1C387CCD"/>
    <w:rsid w:val="1C4508ED"/>
    <w:rsid w:val="1C860B15"/>
    <w:rsid w:val="1CA6768D"/>
    <w:rsid w:val="1CB96E84"/>
    <w:rsid w:val="1CF91663"/>
    <w:rsid w:val="1D3C0E85"/>
    <w:rsid w:val="1D3E4388"/>
    <w:rsid w:val="1D6229EC"/>
    <w:rsid w:val="1D804DF1"/>
    <w:rsid w:val="1D954D97"/>
    <w:rsid w:val="1DAA7367"/>
    <w:rsid w:val="1E422931"/>
    <w:rsid w:val="1E6C3269"/>
    <w:rsid w:val="1E8F4FAF"/>
    <w:rsid w:val="1EB63906"/>
    <w:rsid w:val="1EE802F9"/>
    <w:rsid w:val="1F073974"/>
    <w:rsid w:val="1F1E2EEA"/>
    <w:rsid w:val="1F523DF3"/>
    <w:rsid w:val="1F5C488F"/>
    <w:rsid w:val="1FD430C8"/>
    <w:rsid w:val="2074194C"/>
    <w:rsid w:val="208244E5"/>
    <w:rsid w:val="20AE2044"/>
    <w:rsid w:val="20CE32DF"/>
    <w:rsid w:val="20F364CC"/>
    <w:rsid w:val="21253A8B"/>
    <w:rsid w:val="21430D20"/>
    <w:rsid w:val="215B0CC1"/>
    <w:rsid w:val="21DB7AB1"/>
    <w:rsid w:val="220457E0"/>
    <w:rsid w:val="220F598B"/>
    <w:rsid w:val="22135B75"/>
    <w:rsid w:val="22AF37F5"/>
    <w:rsid w:val="22C9621E"/>
    <w:rsid w:val="230F137F"/>
    <w:rsid w:val="23443CE8"/>
    <w:rsid w:val="239E0EFF"/>
    <w:rsid w:val="23E634F2"/>
    <w:rsid w:val="240750AB"/>
    <w:rsid w:val="24267B5E"/>
    <w:rsid w:val="245B5A29"/>
    <w:rsid w:val="24683E4B"/>
    <w:rsid w:val="25193532"/>
    <w:rsid w:val="252C2F32"/>
    <w:rsid w:val="26097CF4"/>
    <w:rsid w:val="263B66D9"/>
    <w:rsid w:val="269221D6"/>
    <w:rsid w:val="26AF439D"/>
    <w:rsid w:val="26C46F2B"/>
    <w:rsid w:val="26F95079"/>
    <w:rsid w:val="275E3E37"/>
    <w:rsid w:val="27615D27"/>
    <w:rsid w:val="277203C0"/>
    <w:rsid w:val="27827792"/>
    <w:rsid w:val="27C2034A"/>
    <w:rsid w:val="282E547B"/>
    <w:rsid w:val="28BE739A"/>
    <w:rsid w:val="28E23068"/>
    <w:rsid w:val="28E95BAE"/>
    <w:rsid w:val="2949391E"/>
    <w:rsid w:val="295E35EE"/>
    <w:rsid w:val="29B5077A"/>
    <w:rsid w:val="29B53FFD"/>
    <w:rsid w:val="29B73B64"/>
    <w:rsid w:val="29CA071F"/>
    <w:rsid w:val="2AD93650"/>
    <w:rsid w:val="2B1B3C78"/>
    <w:rsid w:val="2B412ABD"/>
    <w:rsid w:val="2B971F94"/>
    <w:rsid w:val="2B9D609C"/>
    <w:rsid w:val="2C1A3467"/>
    <w:rsid w:val="2D254C1E"/>
    <w:rsid w:val="2DB64F3B"/>
    <w:rsid w:val="2DBE3E92"/>
    <w:rsid w:val="2DE20B27"/>
    <w:rsid w:val="2DE7275E"/>
    <w:rsid w:val="2E1E4E36"/>
    <w:rsid w:val="2E2831C7"/>
    <w:rsid w:val="2E8A57EA"/>
    <w:rsid w:val="2EA81517"/>
    <w:rsid w:val="2EAB7F1D"/>
    <w:rsid w:val="2ECB6253"/>
    <w:rsid w:val="2F4E2FA9"/>
    <w:rsid w:val="2FD77F1A"/>
    <w:rsid w:val="30D63385"/>
    <w:rsid w:val="30EF4FC4"/>
    <w:rsid w:val="3130160D"/>
    <w:rsid w:val="315F620C"/>
    <w:rsid w:val="319C6CC0"/>
    <w:rsid w:val="31AD3D8D"/>
    <w:rsid w:val="31CF1D43"/>
    <w:rsid w:val="32506E1A"/>
    <w:rsid w:val="326D1252"/>
    <w:rsid w:val="329A2711"/>
    <w:rsid w:val="32A77828"/>
    <w:rsid w:val="32CC41E5"/>
    <w:rsid w:val="32DB0F7C"/>
    <w:rsid w:val="32E62B90"/>
    <w:rsid w:val="32E72F1D"/>
    <w:rsid w:val="33471C40"/>
    <w:rsid w:val="33964F33"/>
    <w:rsid w:val="339A00B5"/>
    <w:rsid w:val="33E23D2D"/>
    <w:rsid w:val="34010FAF"/>
    <w:rsid w:val="340E0074"/>
    <w:rsid w:val="3439473C"/>
    <w:rsid w:val="346E1259"/>
    <w:rsid w:val="34894D07"/>
    <w:rsid w:val="349F7963"/>
    <w:rsid w:val="34F3588E"/>
    <w:rsid w:val="3507028C"/>
    <w:rsid w:val="357B6134"/>
    <w:rsid w:val="35A5112D"/>
    <w:rsid w:val="36612E47"/>
    <w:rsid w:val="368058A1"/>
    <w:rsid w:val="368D718F"/>
    <w:rsid w:val="36A02664"/>
    <w:rsid w:val="36C450EA"/>
    <w:rsid w:val="37265BF2"/>
    <w:rsid w:val="374A7542"/>
    <w:rsid w:val="37930C3B"/>
    <w:rsid w:val="37C83693"/>
    <w:rsid w:val="380A7980"/>
    <w:rsid w:val="38C3221A"/>
    <w:rsid w:val="39312C65"/>
    <w:rsid w:val="395D15F8"/>
    <w:rsid w:val="399D0AD7"/>
    <w:rsid w:val="39D236E8"/>
    <w:rsid w:val="3A1E5D66"/>
    <w:rsid w:val="3A7F50F5"/>
    <w:rsid w:val="3AA64522"/>
    <w:rsid w:val="3B9968D7"/>
    <w:rsid w:val="3BBD1F8F"/>
    <w:rsid w:val="3BD00FAF"/>
    <w:rsid w:val="3C8059F6"/>
    <w:rsid w:val="3C9C283F"/>
    <w:rsid w:val="3CA56827"/>
    <w:rsid w:val="3CB37024"/>
    <w:rsid w:val="3CDF116D"/>
    <w:rsid w:val="3D125C3D"/>
    <w:rsid w:val="3D201BD6"/>
    <w:rsid w:val="3D407F0C"/>
    <w:rsid w:val="3DE63431"/>
    <w:rsid w:val="3E1A786F"/>
    <w:rsid w:val="3EC76A8F"/>
    <w:rsid w:val="3F756C1D"/>
    <w:rsid w:val="3F7F2A16"/>
    <w:rsid w:val="3F985AE2"/>
    <w:rsid w:val="3FBB6842"/>
    <w:rsid w:val="3FED46EE"/>
    <w:rsid w:val="3FF25B50"/>
    <w:rsid w:val="40042C13"/>
    <w:rsid w:val="402908DD"/>
    <w:rsid w:val="403F4FF6"/>
    <w:rsid w:val="408F607A"/>
    <w:rsid w:val="413E4F19"/>
    <w:rsid w:val="414B33D0"/>
    <w:rsid w:val="41CA6CFC"/>
    <w:rsid w:val="42165B70"/>
    <w:rsid w:val="423676B0"/>
    <w:rsid w:val="426A27D7"/>
    <w:rsid w:val="428D00BE"/>
    <w:rsid w:val="431A0C6C"/>
    <w:rsid w:val="43C76B41"/>
    <w:rsid w:val="443A2A10"/>
    <w:rsid w:val="44C37CDE"/>
    <w:rsid w:val="44D84400"/>
    <w:rsid w:val="450B5ED4"/>
    <w:rsid w:val="45441531"/>
    <w:rsid w:val="45C66607"/>
    <w:rsid w:val="461E2519"/>
    <w:rsid w:val="464F2CE8"/>
    <w:rsid w:val="46AB31D7"/>
    <w:rsid w:val="46BF20A2"/>
    <w:rsid w:val="474C0C12"/>
    <w:rsid w:val="487D32FD"/>
    <w:rsid w:val="48F12A52"/>
    <w:rsid w:val="4A7B5341"/>
    <w:rsid w:val="4A964400"/>
    <w:rsid w:val="4ADE3D60"/>
    <w:rsid w:val="4B812670"/>
    <w:rsid w:val="4BB61845"/>
    <w:rsid w:val="4C0975B5"/>
    <w:rsid w:val="4C3020F9"/>
    <w:rsid w:val="4D06246C"/>
    <w:rsid w:val="4D262E99"/>
    <w:rsid w:val="4D784ECF"/>
    <w:rsid w:val="4D940DD6"/>
    <w:rsid w:val="4DAA7E2E"/>
    <w:rsid w:val="4DF542F3"/>
    <w:rsid w:val="4DF57B76"/>
    <w:rsid w:val="4DFF8C59"/>
    <w:rsid w:val="4E634927"/>
    <w:rsid w:val="4F7C2E75"/>
    <w:rsid w:val="4F874A89"/>
    <w:rsid w:val="50294293"/>
    <w:rsid w:val="50465DC1"/>
    <w:rsid w:val="50AB1369"/>
    <w:rsid w:val="50BE2588"/>
    <w:rsid w:val="50C14255"/>
    <w:rsid w:val="50D756B0"/>
    <w:rsid w:val="5106297C"/>
    <w:rsid w:val="510E7CCF"/>
    <w:rsid w:val="514B0DD5"/>
    <w:rsid w:val="51517578"/>
    <w:rsid w:val="51770CCB"/>
    <w:rsid w:val="52073823"/>
    <w:rsid w:val="5249428D"/>
    <w:rsid w:val="52F61E27"/>
    <w:rsid w:val="535534C5"/>
    <w:rsid w:val="537D4F67"/>
    <w:rsid w:val="53AC1956"/>
    <w:rsid w:val="53CE218A"/>
    <w:rsid w:val="53F058C2"/>
    <w:rsid w:val="543C7F40"/>
    <w:rsid w:val="5495093F"/>
    <w:rsid w:val="549A277B"/>
    <w:rsid w:val="54DB64C4"/>
    <w:rsid w:val="55145A25"/>
    <w:rsid w:val="551556A5"/>
    <w:rsid w:val="55401D6C"/>
    <w:rsid w:val="55951476"/>
    <w:rsid w:val="55B6522E"/>
    <w:rsid w:val="5604752C"/>
    <w:rsid w:val="561505C4"/>
    <w:rsid w:val="57327F9E"/>
    <w:rsid w:val="577C3895"/>
    <w:rsid w:val="579E2363"/>
    <w:rsid w:val="57E71AF9"/>
    <w:rsid w:val="57F731DF"/>
    <w:rsid w:val="584E3BED"/>
    <w:rsid w:val="584F38FE"/>
    <w:rsid w:val="58501AF8"/>
    <w:rsid w:val="589368E0"/>
    <w:rsid w:val="58F133F6"/>
    <w:rsid w:val="58F16C7A"/>
    <w:rsid w:val="591A6434"/>
    <w:rsid w:val="592616D2"/>
    <w:rsid w:val="59303784"/>
    <w:rsid w:val="59874F42"/>
    <w:rsid w:val="5A40498B"/>
    <w:rsid w:val="5AA26640"/>
    <w:rsid w:val="5AD90D18"/>
    <w:rsid w:val="5AEE70CD"/>
    <w:rsid w:val="5AF63606"/>
    <w:rsid w:val="5B03747B"/>
    <w:rsid w:val="5B147A98"/>
    <w:rsid w:val="5B9104C7"/>
    <w:rsid w:val="5BA7266B"/>
    <w:rsid w:val="5BCE032C"/>
    <w:rsid w:val="5C056287"/>
    <w:rsid w:val="5C391303"/>
    <w:rsid w:val="5C5F7C1B"/>
    <w:rsid w:val="5D0900B4"/>
    <w:rsid w:val="5D1D4986"/>
    <w:rsid w:val="5D212457"/>
    <w:rsid w:val="5D6B2979"/>
    <w:rsid w:val="5DFD2B3F"/>
    <w:rsid w:val="5E566712"/>
    <w:rsid w:val="5E885FA6"/>
    <w:rsid w:val="5ED63F07"/>
    <w:rsid w:val="5F4D6FE9"/>
    <w:rsid w:val="5FBE05A1"/>
    <w:rsid w:val="5FC8439F"/>
    <w:rsid w:val="5FE79A87"/>
    <w:rsid w:val="5FFA0406"/>
    <w:rsid w:val="5FFA2561"/>
    <w:rsid w:val="60104B28"/>
    <w:rsid w:val="607600AC"/>
    <w:rsid w:val="608F2E78"/>
    <w:rsid w:val="611E4CE6"/>
    <w:rsid w:val="61521A9B"/>
    <w:rsid w:val="62395E08"/>
    <w:rsid w:val="62441245"/>
    <w:rsid w:val="625649E2"/>
    <w:rsid w:val="626207F5"/>
    <w:rsid w:val="6279458A"/>
    <w:rsid w:val="62C303C6"/>
    <w:rsid w:val="62C75F9B"/>
    <w:rsid w:val="62E47AC9"/>
    <w:rsid w:val="631D1A9E"/>
    <w:rsid w:val="63632697"/>
    <w:rsid w:val="63D4675D"/>
    <w:rsid w:val="640766E0"/>
    <w:rsid w:val="64613B3E"/>
    <w:rsid w:val="649B787D"/>
    <w:rsid w:val="64D811FE"/>
    <w:rsid w:val="64F03067"/>
    <w:rsid w:val="64FE1F12"/>
    <w:rsid w:val="650877CF"/>
    <w:rsid w:val="65691C60"/>
    <w:rsid w:val="657213FC"/>
    <w:rsid w:val="66444FD8"/>
    <w:rsid w:val="668200F8"/>
    <w:rsid w:val="66A27570"/>
    <w:rsid w:val="67242611"/>
    <w:rsid w:val="67BA4306"/>
    <w:rsid w:val="67CA53C1"/>
    <w:rsid w:val="67F3572F"/>
    <w:rsid w:val="682A60F2"/>
    <w:rsid w:val="684A4429"/>
    <w:rsid w:val="68A72D08"/>
    <w:rsid w:val="68D61CF4"/>
    <w:rsid w:val="68EC3C32"/>
    <w:rsid w:val="68F13558"/>
    <w:rsid w:val="69EB69FB"/>
    <w:rsid w:val="6A0431B2"/>
    <w:rsid w:val="6A6FCAD9"/>
    <w:rsid w:val="6AAA0710"/>
    <w:rsid w:val="6AB33C11"/>
    <w:rsid w:val="6BBC40A7"/>
    <w:rsid w:val="6BE9361A"/>
    <w:rsid w:val="6BF36128"/>
    <w:rsid w:val="6C0E4FDF"/>
    <w:rsid w:val="6C1033C1"/>
    <w:rsid w:val="6C460131"/>
    <w:rsid w:val="6C5F32E0"/>
    <w:rsid w:val="6CA47EC7"/>
    <w:rsid w:val="6CBD6E76"/>
    <w:rsid w:val="6CDE15A9"/>
    <w:rsid w:val="6D3867BF"/>
    <w:rsid w:val="6D4E6AC7"/>
    <w:rsid w:val="6DDC72CD"/>
    <w:rsid w:val="6DF90DFC"/>
    <w:rsid w:val="6E713F3E"/>
    <w:rsid w:val="6E9047F2"/>
    <w:rsid w:val="6EB267BC"/>
    <w:rsid w:val="6EF23592"/>
    <w:rsid w:val="6EFD04AC"/>
    <w:rsid w:val="6F1D062A"/>
    <w:rsid w:val="6F532332"/>
    <w:rsid w:val="6F94661F"/>
    <w:rsid w:val="6FAB29C1"/>
    <w:rsid w:val="6FE078CD"/>
    <w:rsid w:val="702D5518"/>
    <w:rsid w:val="703716AB"/>
    <w:rsid w:val="70C714FF"/>
    <w:rsid w:val="71147139"/>
    <w:rsid w:val="72001D46"/>
    <w:rsid w:val="7251380D"/>
    <w:rsid w:val="72652BB9"/>
    <w:rsid w:val="7266063B"/>
    <w:rsid w:val="726C5DC7"/>
    <w:rsid w:val="72C16391"/>
    <w:rsid w:val="7379A13A"/>
    <w:rsid w:val="73F35B49"/>
    <w:rsid w:val="74427F4C"/>
    <w:rsid w:val="74BF0B98"/>
    <w:rsid w:val="750C2E98"/>
    <w:rsid w:val="755C3F1C"/>
    <w:rsid w:val="75A44310"/>
    <w:rsid w:val="75D4341F"/>
    <w:rsid w:val="75F0310B"/>
    <w:rsid w:val="766C2CF7"/>
    <w:rsid w:val="767D4F50"/>
    <w:rsid w:val="7721127E"/>
    <w:rsid w:val="7732281D"/>
    <w:rsid w:val="77A26354"/>
    <w:rsid w:val="7852624C"/>
    <w:rsid w:val="78CE71FA"/>
    <w:rsid w:val="79294ED6"/>
    <w:rsid w:val="792A522E"/>
    <w:rsid w:val="792B03DA"/>
    <w:rsid w:val="796075AF"/>
    <w:rsid w:val="79820DE8"/>
    <w:rsid w:val="79C11BD2"/>
    <w:rsid w:val="79C1634F"/>
    <w:rsid w:val="7A03263B"/>
    <w:rsid w:val="7A6C7BF1"/>
    <w:rsid w:val="7A795AFD"/>
    <w:rsid w:val="7C0A434D"/>
    <w:rsid w:val="7C63309F"/>
    <w:rsid w:val="7CD66238"/>
    <w:rsid w:val="7D2128BA"/>
    <w:rsid w:val="7D8D3BBE"/>
    <w:rsid w:val="7DD78119"/>
    <w:rsid w:val="7DD86484"/>
    <w:rsid w:val="7DEF60A9"/>
    <w:rsid w:val="7DF30332"/>
    <w:rsid w:val="7E5725D5"/>
    <w:rsid w:val="7E9633BF"/>
    <w:rsid w:val="7EED6BC1"/>
    <w:rsid w:val="7F194892"/>
    <w:rsid w:val="7F224A84"/>
    <w:rsid w:val="7F766255"/>
    <w:rsid w:val="7F769ED9"/>
    <w:rsid w:val="7F787928"/>
    <w:rsid w:val="7FAE0608"/>
    <w:rsid w:val="7FBE3468"/>
    <w:rsid w:val="7FF01827"/>
    <w:rsid w:val="9E23A5AC"/>
    <w:rsid w:val="AFD3B32C"/>
    <w:rsid w:val="AFEF5FC4"/>
    <w:rsid w:val="B7FC1E88"/>
    <w:rsid w:val="BD52CCA5"/>
    <w:rsid w:val="BDE5558A"/>
    <w:rsid w:val="D9E71D7B"/>
    <w:rsid w:val="DBB7D1FF"/>
    <w:rsid w:val="DDE324CC"/>
    <w:rsid w:val="E7B4CB6A"/>
    <w:rsid w:val="EE5E10E3"/>
    <w:rsid w:val="EEF7CE66"/>
    <w:rsid w:val="F2E7ACE2"/>
    <w:rsid w:val="FB993BF6"/>
    <w:rsid w:val="FBEF2BE3"/>
    <w:rsid w:val="FD6E5B48"/>
    <w:rsid w:val="FE5B5013"/>
    <w:rsid w:val="FEFF1422"/>
    <w:rsid w:val="FEFFF220"/>
    <w:rsid w:val="FFCF94A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iPriority="99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styleId="11">
    <w:name w:val="Colorful Shading Accent 1"/>
    <w:unhideWhenUsed/>
    <w:uiPriority w:val="99"/>
    <w:rPr>
      <w:kern w:val="2"/>
      <w:sz w:val="21"/>
      <w:lang w:val="en-US" w:eastAsia="zh-CN" w:bidi="ar-SA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2F8"/>
      <w:textDirection w:val="lrTb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band1Vert">
      <w:tblPr>
        <w:tblLayout w:type="fixed"/>
      </w:tblPr>
      <w:tcPr>
        <w:shd w:val="clear" w:color="auto" w:fill="B8CCE4"/>
        <w:textDirection w:val="lrTb"/>
      </w:tcPr>
    </w:tblStylePr>
    <w:tblStylePr w:type="band1Horz">
      <w:tblPr>
        <w:tblLayout w:type="fixed"/>
      </w:tblPr>
      <w:tcPr>
        <w:shd w:val="clear" w:color="auto" w:fill="A7BFDE"/>
        <w:textDirection w:val="lrT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12">
    <w:name w:val="表格"/>
    <w:basedOn w:val="1"/>
    <w:qFormat/>
    <w:uiPriority w:val="0"/>
    <w:pPr>
      <w:widowControl/>
    </w:pPr>
    <w:rPr>
      <w:rFonts w:ascii="宋体" w:hAnsi="宋体" w:eastAsia="等线"/>
      <w:color w:val="000000"/>
      <w:kern w:val="0"/>
      <w:sz w:val="18"/>
      <w:szCs w:val="22"/>
    </w:rPr>
  </w:style>
  <w:style w:type="paragraph" w:customStyle="1" w:styleId="13">
    <w:name w:val="Title1"/>
    <w:qFormat/>
    <w:uiPriority w:val="0"/>
    <w:pPr>
      <w:jc w:val="center"/>
    </w:pPr>
    <w:rPr>
      <w:rFonts w:ascii="Calibri" w:hAnsi="Calibri" w:eastAsia="黑体" w:cs="Times New Roman"/>
      <w:kern w:val="2"/>
      <w:sz w:val="44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text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/>
      <w:sz w:val="24"/>
      <w:szCs w:val="20"/>
    </w:rPr>
  </w:style>
  <w:style w:type="paragraph" w:customStyle="1" w:styleId="17">
    <w:name w:val="普通(网站)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1 Char"/>
    <w:basedOn w:val="1"/>
    <w:qFormat/>
    <w:uiPriority w:val="0"/>
  </w:style>
  <w:style w:type="character" w:customStyle="1" w:styleId="19">
    <w:name w:val="批注框文本 Char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449</Words>
  <Characters>2563</Characters>
  <Lines>21</Lines>
  <Paragraphs>6</Paragraphs>
  <ScaleCrop>false</ScaleCrop>
  <LinksUpToDate>false</LinksUpToDate>
  <CharactersWithSpaces>3006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2017-08-04T01:56:00Z</dcterms:created>
  <dc:creator>LXY</dc:creator>
  <cp:lastModifiedBy>冉亮</cp:lastModifiedBy>
  <cp:lastPrinted>2017-05-25T14:41:00Z</cp:lastPrinted>
  <dcterms:modified xsi:type="dcterms:W3CDTF">2017-08-24T14:01:01Z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