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kinsoku/>
        <w:wordWrap/>
        <w:overflowPunct/>
        <w:topLinePunct w:val="0"/>
        <w:bidi w:val="0"/>
        <w:adjustRightInd/>
        <w:snapToGrid/>
        <w:spacing w:line="240" w:lineRule="auto"/>
        <w:ind w:left="0" w:leftChars="0" w:right="0" w:rightChars="0" w:firstLine="0" w:firstLineChars="0"/>
        <w:textAlignment w:val="auto"/>
        <w:outlineLvl w:val="9"/>
        <w:rPr>
          <w:rFonts w:eastAsia="仿宋_GB2312"/>
          <w:sz w:val="32"/>
          <w:szCs w:val="32"/>
        </w:rPr>
      </w:pPr>
      <w:r>
        <w:rPr>
          <w:rFonts w:eastAsia="仿宋_GB2312"/>
          <w:sz w:val="32"/>
          <w:szCs w:val="32"/>
        </w:rPr>
        <w:t>附件1</w:t>
      </w:r>
    </w:p>
    <w:p>
      <w:pPr>
        <w:keepNext w:val="0"/>
        <w:keepLines w:val="0"/>
        <w:pageBreakBefore w:val="0"/>
        <w:kinsoku/>
        <w:wordWrap/>
        <w:overflowPunct/>
        <w:topLinePunct w:val="0"/>
        <w:bidi w:val="0"/>
        <w:adjustRightInd/>
        <w:snapToGrid/>
        <w:spacing w:line="240" w:lineRule="auto"/>
        <w:ind w:left="0" w:leftChars="0" w:right="0" w:rightChars="0" w:firstLine="0" w:firstLineChars="0"/>
        <w:textAlignment w:val="auto"/>
        <w:outlineLvl w:val="9"/>
        <w:rPr>
          <w:rFonts w:eastAsia="仿宋_GB2312"/>
          <w:sz w:val="32"/>
          <w:szCs w:val="32"/>
        </w:rPr>
      </w:pP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spacing w:val="-20"/>
          <w:sz w:val="36"/>
          <w:szCs w:val="36"/>
        </w:rPr>
      </w:pPr>
      <w:r>
        <w:rPr>
          <w:rFonts w:hint="default" w:ascii="Times New Roman" w:hAnsi="Times New Roman" w:eastAsia="黑体" w:cs="Times New Roman"/>
          <w:b/>
          <w:spacing w:val="-20"/>
          <w:sz w:val="36"/>
          <w:szCs w:val="36"/>
        </w:rPr>
        <w:t>工程机械高压油泵、液压阀、马达</w:t>
      </w: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spacing w:val="-20"/>
          <w:sz w:val="36"/>
          <w:szCs w:val="36"/>
        </w:rPr>
      </w:pPr>
      <w:r>
        <w:rPr>
          <w:rFonts w:hint="eastAsia" w:ascii="Times New Roman" w:hAnsi="Times New Roman" w:eastAsia="黑体" w:cs="Times New Roman"/>
          <w:b/>
          <w:spacing w:val="-20"/>
          <w:sz w:val="36"/>
          <w:szCs w:val="36"/>
          <w:lang w:eastAsia="zh-CN"/>
        </w:rPr>
        <w:t>“</w:t>
      </w:r>
      <w:r>
        <w:rPr>
          <w:rFonts w:hint="default" w:ascii="Times New Roman" w:hAnsi="Times New Roman" w:eastAsia="黑体" w:cs="Times New Roman"/>
          <w:b/>
          <w:spacing w:val="-20"/>
          <w:sz w:val="36"/>
          <w:szCs w:val="36"/>
        </w:rPr>
        <w:t>一条龙</w:t>
      </w:r>
      <w:r>
        <w:rPr>
          <w:rFonts w:hint="eastAsia" w:ascii="Times New Roman" w:hAnsi="Times New Roman" w:eastAsia="黑体" w:cs="Times New Roman"/>
          <w:b/>
          <w:spacing w:val="-20"/>
          <w:sz w:val="36"/>
          <w:szCs w:val="36"/>
          <w:lang w:eastAsia="zh-CN"/>
        </w:rPr>
        <w:t>”</w:t>
      </w:r>
      <w:r>
        <w:rPr>
          <w:rFonts w:hint="default" w:ascii="Times New Roman" w:hAnsi="Times New Roman" w:eastAsia="黑体" w:cs="Times New Roman"/>
          <w:b/>
          <w:spacing w:val="-20"/>
          <w:sz w:val="36"/>
          <w:szCs w:val="36"/>
        </w:rPr>
        <w:t>应用计划申报要求</w:t>
      </w: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spacing w:val="-20"/>
          <w:sz w:val="36"/>
          <w:szCs w:val="36"/>
        </w:rPr>
      </w:pPr>
    </w:p>
    <w:p>
      <w:pPr>
        <w:keepNext w:val="0"/>
        <w:keepLines w:val="0"/>
        <w:pageBreakBefore w:val="0"/>
        <w:widowControl/>
        <w:numPr>
          <w:ilvl w:val="0"/>
          <w:numId w:val="1"/>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产业链构成</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20、30t级液压挖掘机和50t级以上大型汽车起重机等整机产品，立足高端高压轴向柱塞液压马达、液压泵、整体式多路阀的数字设计技术、材料、铸造技术、加工工艺技术、试验技术和检测标准等，实现工程机械急需的高端液压元件稳定批量生产及在主机上的大批量配套。</w:t>
      </w:r>
    </w:p>
    <w:p>
      <w:pPr>
        <w:keepNext w:val="0"/>
        <w:keepLines w:val="0"/>
        <w:pageBreakBefore w:val="0"/>
        <w:widowControl/>
        <w:kinsoku/>
        <w:wordWrap/>
        <w:overflowPunct/>
        <w:topLinePunct w:val="0"/>
        <w:autoSpaceDE w:val="0"/>
        <w:autoSpaceDN w:val="0"/>
        <w:bidi w:val="0"/>
        <w:adjustRightInd/>
        <w:snapToGrid/>
        <w:spacing w:line="500" w:lineRule="exact"/>
        <w:ind w:left="0" w:leftChars="0" w:right="0" w:right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关键配套件产品链条环节</w:t>
      </w:r>
    </w:p>
    <w:tbl>
      <w:tblPr>
        <w:tblStyle w:val="9"/>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3844"/>
        <w:gridCol w:w="1087"/>
        <w:gridCol w:w="219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0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3844"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产业链环节</w:t>
            </w:r>
          </w:p>
        </w:tc>
        <w:tc>
          <w:tcPr>
            <w:tcW w:w="1087"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整体式多路阀</w:t>
            </w:r>
          </w:p>
        </w:tc>
        <w:tc>
          <w:tcPr>
            <w:tcW w:w="219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高压轴向柱塞回转马达、行走马达</w:t>
            </w:r>
          </w:p>
        </w:tc>
        <w:tc>
          <w:tcPr>
            <w:tcW w:w="1232"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开式轴向柱塞双泵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3844"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高品质铸件</w:t>
            </w:r>
          </w:p>
        </w:tc>
        <w:tc>
          <w:tcPr>
            <w:tcW w:w="1087"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219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232"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3844"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材料热处理和表面处理</w:t>
            </w:r>
          </w:p>
        </w:tc>
        <w:tc>
          <w:tcPr>
            <w:tcW w:w="1087"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219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232"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3844"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阀杆及阀芯硬度控制</w:t>
            </w:r>
          </w:p>
        </w:tc>
        <w:tc>
          <w:tcPr>
            <w:tcW w:w="1087"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219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p>
        </w:tc>
        <w:tc>
          <w:tcPr>
            <w:tcW w:w="1232"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3844"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关键零部件加工技术</w:t>
            </w:r>
          </w:p>
        </w:tc>
        <w:tc>
          <w:tcPr>
            <w:tcW w:w="1087"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c>
          <w:tcPr>
            <w:tcW w:w="219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c>
          <w:tcPr>
            <w:tcW w:w="1232"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3844"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配套高强度螺栓</w:t>
            </w:r>
          </w:p>
        </w:tc>
        <w:tc>
          <w:tcPr>
            <w:tcW w:w="1087"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c>
          <w:tcPr>
            <w:tcW w:w="219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p>
        </w:tc>
        <w:tc>
          <w:tcPr>
            <w:tcW w:w="1232"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3844"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配套密封件</w:t>
            </w:r>
          </w:p>
        </w:tc>
        <w:tc>
          <w:tcPr>
            <w:tcW w:w="1087"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c>
          <w:tcPr>
            <w:tcW w:w="219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p>
        </w:tc>
        <w:tc>
          <w:tcPr>
            <w:tcW w:w="1232"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3844"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控制技术</w:t>
            </w:r>
          </w:p>
        </w:tc>
        <w:tc>
          <w:tcPr>
            <w:tcW w:w="1087"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c>
          <w:tcPr>
            <w:tcW w:w="219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p>
        </w:tc>
        <w:tc>
          <w:tcPr>
            <w:tcW w:w="1232"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3844"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产品标准制定</w:t>
            </w:r>
          </w:p>
        </w:tc>
        <w:tc>
          <w:tcPr>
            <w:tcW w:w="1087"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c>
          <w:tcPr>
            <w:tcW w:w="219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c>
          <w:tcPr>
            <w:tcW w:w="1232"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3844"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试验检测技术、评估方法及设备</w:t>
            </w:r>
          </w:p>
        </w:tc>
        <w:tc>
          <w:tcPr>
            <w:tcW w:w="1087"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c>
          <w:tcPr>
            <w:tcW w:w="2196"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c>
          <w:tcPr>
            <w:tcW w:w="1232" w:type="dxa"/>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r>
    </w:tbl>
    <w:p>
      <w:pPr>
        <w:keepNext w:val="0"/>
        <w:keepLines w:val="0"/>
        <w:pageBreakBefore w:val="0"/>
        <w:widowControl/>
        <w:numPr>
          <w:ilvl w:val="0"/>
          <w:numId w:val="1"/>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目标和任务</w:t>
      </w:r>
    </w:p>
    <w:p>
      <w:pPr>
        <w:keepNext w:val="0"/>
        <w:keepLines w:val="0"/>
        <w:pageBreakBefore w:val="0"/>
        <w:widowControl/>
        <w:numPr>
          <w:ilvl w:val="0"/>
          <w:numId w:val="2"/>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 w:cs="Times New Roman"/>
          <w:b/>
          <w:sz w:val="30"/>
          <w:szCs w:val="30"/>
        </w:rPr>
      </w:pPr>
      <w:r>
        <w:rPr>
          <w:rFonts w:hint="default" w:ascii="Times New Roman" w:hAnsi="Times New Roman" w:eastAsia="楷体" w:cs="Times New Roman"/>
          <w:b/>
          <w:sz w:val="30"/>
          <w:szCs w:val="30"/>
        </w:rPr>
        <w:t>整体式多路阀</w:t>
      </w:r>
    </w:p>
    <w:p>
      <w:pPr>
        <w:keepNext w:val="0"/>
        <w:keepLines w:val="0"/>
        <w:pageBreakBefore w:val="0"/>
        <w:widowControl/>
        <w:numPr>
          <w:ilvl w:val="0"/>
          <w:numId w:val="3"/>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高品质铸件环节</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采用精炼铁水、精制砂芯、砂芯应变均化、均化涂料、数字化铸造过程分析、潮模砂造型等先进铸造等工艺技术，提高生产效率和产品合格率，实现高精密液压铸件产业化生产。产品性能指标经实际使用验证达到国际先进水平。</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整体式阀块的精密铸造技术尺寸精度：外形：CT7；内腔:CT6；表面质量：Ra≤12.5；标准试块孔变形量≤2.0μm/10Nm；阀体流道尺寸精度≤0.25mm，耐压35MPa-42MPa；材料疲劳寿命测试＞200万次；铸造合格率达到产业化要求。</w:t>
      </w:r>
    </w:p>
    <w:p>
      <w:pPr>
        <w:keepNext w:val="0"/>
        <w:keepLines w:val="0"/>
        <w:pageBreakBefore w:val="0"/>
        <w:widowControl/>
        <w:numPr>
          <w:ilvl w:val="0"/>
          <w:numId w:val="3"/>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阀杆及阀芯硬度控制</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通过高频感应淬火或镀硬铬等表面处理方式，在保持芯部韧性的同时，达到表面高硬度、高耐磨性。高频感应淬火，通过精制感应器、实时能力监控系统及每种产品适用的淬火工艺，实现变形小、硬度和深度均匀的表面；高频感应镀硬铬，通过精制电极、小电流等，实现满足附着力、硬度等要求的镀层。</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淬火：芯部硬度HRC28-38表面、硬度HRC56-62、淬火深度0.3-1.2、变形增加量≤0.02、晶粒度符合GB 6354，表层脱碳符合GB 224。电镀：硬度HV≥650、镀层厚度0.3-1.2、附着力要求符合GB5270。</w:t>
      </w:r>
    </w:p>
    <w:p>
      <w:pPr>
        <w:keepNext w:val="0"/>
        <w:keepLines w:val="0"/>
        <w:pageBreakBefore w:val="0"/>
        <w:widowControl/>
        <w:numPr>
          <w:ilvl w:val="0"/>
          <w:numId w:val="3"/>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关键零部件加工技术</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采用虚拟制造技术与并行工程、阀体密封平面“以铣代磨”加工技术、阀芯孔成套化铰孔技术、阀芯孔沉割槽高效加工技术、成套化插装阀孔加工、检测技术、统型油口标准化加工技术、异构零件定位改进与清洗参数优化技术、球墨铸铁阀体磷化防锈技术、多冲程珩磨+单冲程珩铰精密加工技术、阀体铸造流道应用技术、高精度磨削技术、复合车削技术提高液压多路阀加工精度与加工效率，实现批量化生产。</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尺寸精度：阀孔、阀杆直径公差精度≤3μm；形状精度：阀孔、阀杆外圆圆柱度≤2μm、阀体配合面平行度≤0.03mm、阀体配合面平面度≤0.015mm；表面质量：关键表面粗糙度≤Ra0.2；关键特性过程能力：Cpk≥1.67。</w:t>
      </w:r>
    </w:p>
    <w:p>
      <w:pPr>
        <w:keepNext w:val="0"/>
        <w:keepLines w:val="0"/>
        <w:pageBreakBefore w:val="0"/>
        <w:widowControl/>
        <w:numPr>
          <w:ilvl w:val="0"/>
          <w:numId w:val="3"/>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配套高强度螺栓</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采用进口材质SWOSC-V及SWPB，对于要求高的应用场合采用SWOSC-V材质弹簧，要求相对较低的场合采用SWPB材质。</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通过改进热处理工艺。弹簧寿命≥100万次。</w:t>
      </w:r>
    </w:p>
    <w:p>
      <w:pPr>
        <w:keepNext w:val="0"/>
        <w:keepLines w:val="0"/>
        <w:pageBreakBefore w:val="0"/>
        <w:widowControl/>
        <w:numPr>
          <w:ilvl w:val="0"/>
          <w:numId w:val="3"/>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配套密封件</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_GB2312" w:cs="Times New Roman"/>
          <w:b/>
          <w:bCs/>
          <w:sz w:val="30"/>
          <w:szCs w:val="30"/>
        </w:rPr>
        <w:t>环节描</w:t>
      </w:r>
      <w:r>
        <w:rPr>
          <w:rFonts w:hint="default" w:ascii="Times New Roman" w:hAnsi="Times New Roman" w:eastAsia="楷体" w:cs="Times New Roman"/>
          <w:b/>
          <w:bCs/>
          <w:sz w:val="30"/>
          <w:szCs w:val="30"/>
        </w:rPr>
        <w:t>述</w:t>
      </w:r>
      <w:r>
        <w:rPr>
          <w:rFonts w:hint="default" w:ascii="Times New Roman" w:hAnsi="Times New Roman" w:eastAsia="楷体_GB2312" w:cs="Times New Roman"/>
          <w:b/>
          <w:bCs/>
          <w:sz w:val="30"/>
          <w:szCs w:val="30"/>
        </w:rPr>
        <w:t>及任务。</w:t>
      </w:r>
      <w:r>
        <w:rPr>
          <w:rFonts w:hint="default" w:ascii="Times New Roman" w:hAnsi="Times New Roman" w:eastAsia="仿宋_GB2312" w:cs="Times New Roman"/>
          <w:sz w:val="30"/>
          <w:szCs w:val="30"/>
        </w:rPr>
        <w:t>密封性能及技术指标满足或高于Q/XGYY16001-2011规定。</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工作温度-40℃～250℃；密封压力≥100MPa；使用寿命≥6年。</w:t>
      </w:r>
    </w:p>
    <w:p>
      <w:pPr>
        <w:keepNext w:val="0"/>
        <w:keepLines w:val="0"/>
        <w:pageBreakBefore w:val="0"/>
        <w:widowControl/>
        <w:numPr>
          <w:ilvl w:val="0"/>
          <w:numId w:val="3"/>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控制技术</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 w:cs="Times New Roman"/>
          <w:b/>
          <w:bCs/>
          <w:sz w:val="30"/>
          <w:szCs w:val="30"/>
        </w:rPr>
        <w:t>。</w:t>
      </w:r>
      <w:r>
        <w:rPr>
          <w:rFonts w:hint="default" w:ascii="Times New Roman" w:hAnsi="Times New Roman" w:eastAsia="仿宋_GB2312" w:cs="Times New Roman"/>
          <w:sz w:val="30"/>
          <w:szCs w:val="30"/>
        </w:rPr>
        <w:t>控制方式：液压先导控制、电液控制；功能：负流量控制、正流量控制，适用于50t级以上大型汽车起重机、20-30t级液压挖掘机。</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符合或</w:t>
      </w:r>
      <w:bookmarkStart w:id="0" w:name="OLE_LINK1"/>
      <w:bookmarkStart w:id="1" w:name="OLE_LINK2"/>
      <w:r>
        <w:rPr>
          <w:rFonts w:hint="default" w:ascii="Times New Roman" w:hAnsi="Times New Roman" w:eastAsia="仿宋_GB2312" w:cs="Times New Roman"/>
          <w:sz w:val="30"/>
          <w:szCs w:val="30"/>
        </w:rPr>
        <w:t>高于JB/T 8729-2013</w:t>
      </w:r>
      <w:bookmarkEnd w:id="0"/>
      <w:bookmarkEnd w:id="1"/>
      <w:r>
        <w:rPr>
          <w:rFonts w:hint="default" w:ascii="Times New Roman" w:hAnsi="Times New Roman" w:eastAsia="仿宋_GB2312" w:cs="Times New Roman"/>
          <w:sz w:val="30"/>
          <w:szCs w:val="30"/>
        </w:rPr>
        <w:t>各指标要求，使用寿命≥2000h，性能稳定性、制造成本达到产业化要求。</w:t>
      </w:r>
    </w:p>
    <w:p>
      <w:pPr>
        <w:keepNext w:val="0"/>
        <w:keepLines w:val="0"/>
        <w:pageBreakBefore w:val="0"/>
        <w:widowControl/>
        <w:numPr>
          <w:ilvl w:val="0"/>
          <w:numId w:val="3"/>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产品标准制定</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 w:cs="Times New Roman"/>
          <w:b/>
          <w:bCs/>
          <w:sz w:val="30"/>
          <w:szCs w:val="30"/>
        </w:rPr>
        <w:t>。</w:t>
      </w:r>
      <w:r>
        <w:rPr>
          <w:rFonts w:hint="default" w:ascii="Times New Roman" w:hAnsi="Times New Roman" w:eastAsia="仿宋_GB2312" w:cs="Times New Roman"/>
          <w:sz w:val="30"/>
          <w:szCs w:val="30"/>
        </w:rPr>
        <w:t>参照国际先进产品相关指标参数、关键工艺突破成果、整体式多路阀产品企业标准，参与制定国家、行业标准、团体标准。</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基本参数、技术要求符合或高于JB/T 8729-2013指标，试验方法、检验规则具有行业推广条件。</w:t>
      </w:r>
    </w:p>
    <w:p>
      <w:pPr>
        <w:keepNext w:val="0"/>
        <w:keepLines w:val="0"/>
        <w:pageBreakBefore w:val="0"/>
        <w:widowControl/>
        <w:numPr>
          <w:ilvl w:val="0"/>
          <w:numId w:val="3"/>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试验检测技术、评估方法及设备</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 w:cs="Times New Roman"/>
          <w:b/>
          <w:bCs/>
          <w:sz w:val="30"/>
          <w:szCs w:val="30"/>
        </w:rPr>
        <w:t>。</w:t>
      </w:r>
      <w:r>
        <w:rPr>
          <w:rFonts w:hint="default" w:ascii="Times New Roman" w:hAnsi="Times New Roman" w:eastAsia="仿宋_GB2312" w:cs="Times New Roman"/>
          <w:sz w:val="30"/>
          <w:szCs w:val="30"/>
        </w:rPr>
        <w:t>采用综合试验或单项、多项试验设备实现多路阀全参数型式试验，满足不同主机工况需求；采用主要参数生产检测设备，满足生产需要；制定相应的评估方法和指标，满足产业化要求。</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满足不同型号主机工况测试需求，满足多路阀型式试验测试、批量化生产检测等要求。工程机械整体式多路阀额定压力：泵侧35 MPa，执行机构侧42 MPa；流量＞220 L/min，单片最大流量500L/min；控制方式：液压先导控制、电液负载敏感控制及分合流控制；功能：负流量控制、正流量控制，装机MIBF&gt;5000 h。</w:t>
      </w:r>
    </w:p>
    <w:p>
      <w:pPr>
        <w:keepNext w:val="0"/>
        <w:keepLines w:val="0"/>
        <w:pageBreakBefore w:val="0"/>
        <w:widowControl/>
        <w:numPr>
          <w:ilvl w:val="0"/>
          <w:numId w:val="2"/>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 w:cs="Times New Roman"/>
          <w:b/>
          <w:sz w:val="30"/>
          <w:szCs w:val="30"/>
        </w:rPr>
      </w:pPr>
      <w:r>
        <w:rPr>
          <w:rFonts w:hint="default" w:ascii="Times New Roman" w:hAnsi="Times New Roman" w:eastAsia="楷体" w:cs="Times New Roman"/>
          <w:b/>
          <w:sz w:val="30"/>
          <w:szCs w:val="30"/>
        </w:rPr>
        <w:t>高压轴向柱塞回转马达、行走马达</w:t>
      </w:r>
    </w:p>
    <w:p>
      <w:pPr>
        <w:keepNext w:val="0"/>
        <w:keepLines w:val="0"/>
        <w:pageBreakBefore w:val="0"/>
        <w:widowControl/>
        <w:numPr>
          <w:ilvl w:val="0"/>
          <w:numId w:val="4"/>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高品质铸件环节</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 w:cs="Times New Roman"/>
          <w:b/>
          <w:bCs/>
          <w:sz w:val="30"/>
          <w:szCs w:val="30"/>
        </w:rPr>
        <w:t>。</w:t>
      </w:r>
      <w:r>
        <w:rPr>
          <w:rFonts w:hint="default" w:ascii="Times New Roman" w:hAnsi="Times New Roman" w:eastAsia="仿宋_GB2312" w:cs="Times New Roman"/>
          <w:sz w:val="30"/>
          <w:szCs w:val="30"/>
        </w:rPr>
        <w:t>采用高精度、高性能液压件铸造材料，开发先进造型工艺技术和制芯工艺技术，掌握先进浇铸温度控制技术。</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耐压35MPa，-40℃工况下冲击值达到技术要求，材料的疲劳强度达到200万次以上。尺寸精度：外形CT7、内腔CT6，表面质量Ra≤25。</w:t>
      </w:r>
    </w:p>
    <w:p>
      <w:pPr>
        <w:keepNext w:val="0"/>
        <w:keepLines w:val="0"/>
        <w:pageBreakBefore w:val="0"/>
        <w:widowControl/>
        <w:numPr>
          <w:ilvl w:val="0"/>
          <w:numId w:val="4"/>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材料热处理和表面处理环节</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关键球磨铸铁零件表面硬件氮化、碳氮共渗热处理工艺技术。</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表面硬度可稳定保持在900HV以上，白亮层厚度10μm左右。</w:t>
      </w:r>
    </w:p>
    <w:p>
      <w:pPr>
        <w:keepNext w:val="0"/>
        <w:keepLines w:val="0"/>
        <w:pageBreakBefore w:val="0"/>
        <w:widowControl/>
        <w:numPr>
          <w:ilvl w:val="0"/>
          <w:numId w:val="4"/>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关键零部件加工技术</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关键零部件的扣压、热能去毛刺、珩磨工艺。</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扣压后轴向游隙0.014-0.034mm，收口处无裂纹；热能融化毛刺，零件尺寸、表面粗糙度、金相组织及机械性能等不会受到破坏；珩磨后圆柱度可控制在3μm以内，表面粗糙度在Ra0.4以内。</w:t>
      </w:r>
    </w:p>
    <w:p>
      <w:pPr>
        <w:keepNext w:val="0"/>
        <w:keepLines w:val="0"/>
        <w:pageBreakBefore w:val="0"/>
        <w:widowControl/>
        <w:numPr>
          <w:ilvl w:val="0"/>
          <w:numId w:val="4"/>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产品标准制定</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根据关键工艺突破成果，参照国际先进水平相关指标参数、制定的高压轴向柱塞回转马达、行走马达产品企业标准；参与制定国家、行业标准、团体标准。</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基本参数、技术要求、试验方法、检验规则符合或高于GXB/WJ 0034-2015指标，具有行业推广条件。</w:t>
      </w:r>
    </w:p>
    <w:p>
      <w:pPr>
        <w:keepNext w:val="0"/>
        <w:keepLines w:val="0"/>
        <w:pageBreakBefore w:val="0"/>
        <w:widowControl/>
        <w:numPr>
          <w:ilvl w:val="0"/>
          <w:numId w:val="4"/>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试验检测技术、评估方法及设备</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采用综合试验或单项、多项试验设备实现高压轴向柱塞回转马达、行走马达全参数型式试验，满足不同主机工况需求；采用主要参数生产检测设备，满足生产需要；制定相应的评估方法和指标，满足产业化要求。</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满足不同主机工况测试需求，满足高压轴向柱塞回转马达、行走马达型式试验测试需求；满足批量化生产检测要求。高压轴向柱塞回转马达排量Q：130~180 ml/r，最高输出转速n：1850 rpm，额定压力</w:t>
      </w:r>
      <w:r>
        <w:rPr>
          <w:rFonts w:hint="default" w:ascii="Times New Roman" w:hAnsi="Times New Roman" w:eastAsia="仿宋_GB2312" w:cs="Times New Roman"/>
          <w:sz w:val="32"/>
          <w:szCs w:val="32"/>
        </w:rPr>
        <w:t>Pn</w:t>
      </w:r>
      <w:r>
        <w:rPr>
          <w:rFonts w:hint="default" w:ascii="Times New Roman" w:hAnsi="Times New Roman" w:eastAsia="仿宋_GB2312" w:cs="Times New Roman"/>
          <w:sz w:val="30"/>
          <w:szCs w:val="30"/>
        </w:rPr>
        <w:t>≥32 MPa，最高压力Pmax≥40 MPa，装机MIBF&gt;5000 h。高压轴向柱塞行走马达排量Q：170~280 ml/r，最高输出转速n：2200 rpm，额定压力</w:t>
      </w:r>
      <w:r>
        <w:rPr>
          <w:rFonts w:hint="default" w:ascii="Times New Roman" w:hAnsi="Times New Roman" w:eastAsia="仿宋_GB2312" w:cs="Times New Roman"/>
          <w:sz w:val="32"/>
          <w:szCs w:val="32"/>
        </w:rPr>
        <w:t>Pn</w:t>
      </w:r>
      <w:r>
        <w:rPr>
          <w:rFonts w:hint="default" w:ascii="Times New Roman" w:hAnsi="Times New Roman" w:eastAsia="仿宋_GB2312" w:cs="Times New Roman"/>
          <w:sz w:val="30"/>
          <w:szCs w:val="30"/>
        </w:rPr>
        <w:t>≥32 MPa，最高压力Pmax≥40 MPa，装机MIBF&gt;5000 h。（注：要求回转马达和行走马达能提供总成，且总成输出扭矩和安装尺寸满足装机要求。）</w:t>
      </w:r>
    </w:p>
    <w:p>
      <w:pPr>
        <w:keepNext w:val="0"/>
        <w:keepLines w:val="0"/>
        <w:pageBreakBefore w:val="0"/>
        <w:widowControl/>
        <w:numPr>
          <w:ilvl w:val="0"/>
          <w:numId w:val="2"/>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 w:cs="Times New Roman"/>
          <w:b/>
          <w:sz w:val="30"/>
          <w:szCs w:val="30"/>
        </w:rPr>
      </w:pPr>
      <w:r>
        <w:rPr>
          <w:rFonts w:hint="default" w:ascii="Times New Roman" w:hAnsi="Times New Roman" w:eastAsia="楷体" w:cs="Times New Roman"/>
          <w:b/>
          <w:sz w:val="30"/>
          <w:szCs w:val="30"/>
        </w:rPr>
        <w:t>开式轴向柱塞双泵</w:t>
      </w:r>
    </w:p>
    <w:p>
      <w:pPr>
        <w:keepNext w:val="0"/>
        <w:keepLines w:val="0"/>
        <w:pageBreakBefore w:val="0"/>
        <w:widowControl/>
        <w:numPr>
          <w:ilvl w:val="0"/>
          <w:numId w:val="5"/>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高品质铸件环节</w:t>
      </w:r>
    </w:p>
    <w:p>
      <w:pPr>
        <w:keepNext w:val="0"/>
        <w:keepLines w:val="0"/>
        <w:pageBreakBefore w:val="0"/>
        <w:widowControl/>
        <w:numPr>
          <w:ilvl w:val="0"/>
          <w:numId w:val="6"/>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采用高精度、高性能液压件铸造材料，开发先进造型工艺技术和制芯工艺技术，掌握先进浇铸温度控制技术。</w:t>
      </w:r>
    </w:p>
    <w:p>
      <w:pPr>
        <w:keepNext w:val="0"/>
        <w:keepLines w:val="0"/>
        <w:pageBreakBefore w:val="0"/>
        <w:widowControl/>
        <w:numPr>
          <w:ilvl w:val="0"/>
          <w:numId w:val="6"/>
        </w:numPr>
        <w:kinsoku/>
        <w:wordWrap w:val="0"/>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耐压35MPa，-40℃工况下冲击值达到技术要求，材料的疲劳强度达到200万次以上。尺寸精度：外形CT7、内腔CT6，表面质量Ra≤25。</w:t>
      </w:r>
    </w:p>
    <w:p>
      <w:pPr>
        <w:keepNext w:val="0"/>
        <w:keepLines w:val="0"/>
        <w:pageBreakBefore w:val="0"/>
        <w:widowControl/>
        <w:numPr>
          <w:ilvl w:val="0"/>
          <w:numId w:val="5"/>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材料热处理和表面处理环节</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关键球磨铸铁零件表面硬件氮化、碳氮共渗热处理工艺技术。</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表面硬度可稳定保持在900HV以上，白亮层厚度10μm左右。</w:t>
      </w:r>
    </w:p>
    <w:p>
      <w:pPr>
        <w:keepNext w:val="0"/>
        <w:keepLines w:val="0"/>
        <w:pageBreakBefore w:val="0"/>
        <w:widowControl/>
        <w:numPr>
          <w:ilvl w:val="0"/>
          <w:numId w:val="5"/>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关键零部件加工技术</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关键零部件的扣压、热能去毛刺、珩磨工艺。</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扣压后轴向游隙0.014-0.034mm，收口处无裂纹；热能融化毛刺，零件尺寸、表面粗糙度、金相组织及机械性能等不会受到破坏；珩磨后圆柱度可控制在3μm以内，表面粗糙度在Ra0.4以内。</w:t>
      </w:r>
    </w:p>
    <w:p>
      <w:pPr>
        <w:keepNext w:val="0"/>
        <w:keepLines w:val="0"/>
        <w:pageBreakBefore w:val="0"/>
        <w:widowControl/>
        <w:numPr>
          <w:ilvl w:val="0"/>
          <w:numId w:val="5"/>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控制技术</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正流量控制技术，负流量控制技术，负荷传感控制技术。</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正流量控制采用电液结合控制，可实现用多少给多少的控制技术；电控与发动机控制结合，提高可操作性与节油。负流量控制是由阀产生控制信号反馈给泵，从而控制泵的排量；负荷传感控制技术具有抗饱和性，各动作根据阀芯面积控制分配流量，不受负载大小影响。</w:t>
      </w:r>
    </w:p>
    <w:p>
      <w:pPr>
        <w:keepNext w:val="0"/>
        <w:keepLines w:val="0"/>
        <w:pageBreakBefore w:val="0"/>
        <w:widowControl/>
        <w:numPr>
          <w:ilvl w:val="0"/>
          <w:numId w:val="5"/>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产品标准制定</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根据关键工艺突破成果，参照相关国际先进水平指标参数、开式轴向柱塞双泵产品企业标准，参与制定国家、行业标准、团体标准。</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基本参数、技术要求、试验方法、检验规则符合或高于GXB/WJ 0032-2015液压挖掘机用双联轴向柱塞泵试验室耐久性试验要求，具有行业推广条件。</w:t>
      </w:r>
    </w:p>
    <w:p>
      <w:pPr>
        <w:keepNext w:val="0"/>
        <w:keepLines w:val="0"/>
        <w:pageBreakBefore w:val="0"/>
        <w:widowControl/>
        <w:numPr>
          <w:ilvl w:val="0"/>
          <w:numId w:val="5"/>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试验检测技术、评估方法及设备</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楷体" w:cs="Times New Roman"/>
          <w:b/>
          <w:bCs/>
          <w:sz w:val="30"/>
          <w:szCs w:val="30"/>
        </w:rPr>
        <w:t>环节描述及任务。</w:t>
      </w:r>
      <w:r>
        <w:rPr>
          <w:rFonts w:hint="default" w:ascii="Times New Roman" w:hAnsi="Times New Roman" w:eastAsia="仿宋_GB2312" w:cs="Times New Roman"/>
          <w:sz w:val="30"/>
          <w:szCs w:val="30"/>
        </w:rPr>
        <w:t>采用综合试验或单项、多项试验设备实现开式轴向柱塞双泵全参数型式试验，满足不同主机工况需求；采用主要参数检测设备，满足生产需要；制定相应的评估方法和指标，满足产业化要求。</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楷体" w:cs="Times New Roman"/>
          <w:b/>
          <w:bCs/>
          <w:sz w:val="30"/>
          <w:szCs w:val="30"/>
        </w:rPr>
        <w:t>具体目标。</w:t>
      </w:r>
      <w:r>
        <w:rPr>
          <w:rFonts w:hint="default" w:ascii="Times New Roman" w:hAnsi="Times New Roman" w:eastAsia="仿宋_GB2312" w:cs="Times New Roman"/>
          <w:sz w:val="30"/>
          <w:szCs w:val="30"/>
        </w:rPr>
        <w:t>满足不同主机工况测试需求，满足开式轴向柱塞双泵型式试验测试需求；满足批量化生产检测要求。开式轴向柱塞双泵，变量方式：压力控制，功率控制，电比例功率，电比例排量及上述变量组合；额定转速n≥1900rpm；排量范围：210-420mL/r；额定压力P≥35MPa，最高压力Pmax≥42MPa；装机MIBF&gt;8000h。</w:t>
      </w:r>
    </w:p>
    <w:p>
      <w:pPr>
        <w:keepNext w:val="0"/>
        <w:keepLines w:val="0"/>
        <w:pageBreakBefore w:val="0"/>
        <w:widowControl/>
        <w:numPr>
          <w:ilvl w:val="0"/>
          <w:numId w:val="1"/>
        </w:numPr>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咨询电话</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机械工业规划研究院  王 万   010-68732009</w:t>
      </w: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p>
    <w:p>
      <w:pPr>
        <w:keepNext w:val="0"/>
        <w:keepLines w:val="0"/>
        <w:pageBreakBefore w:val="0"/>
        <w:widowControl/>
        <w:kinsoku/>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附：2017年工程机械高压油泵、液压阀、马达“一条龙”应用计</w:t>
      </w:r>
    </w:p>
    <w:p>
      <w:pPr>
        <w:keepNext w:val="0"/>
        <w:keepLines w:val="0"/>
        <w:pageBreakBefore w:val="0"/>
        <w:widowControl/>
        <w:kinsoku/>
        <w:wordWrap/>
        <w:overflowPunct/>
        <w:topLinePunct w:val="0"/>
        <w:autoSpaceDE w:val="0"/>
        <w:autoSpaceDN w:val="0"/>
        <w:bidi w:val="0"/>
        <w:adjustRightInd/>
        <w:snapToGrid/>
        <w:spacing w:line="560" w:lineRule="exact"/>
        <w:ind w:left="630" w:leftChars="300" w:right="0" w:rightChars="0" w:firstLine="600" w:firstLineChars="200"/>
        <w:jc w:val="both"/>
        <w:textAlignment w:val="auto"/>
        <w:outlineLvl w:val="9"/>
        <w:rPr>
          <w:rFonts w:hint="default" w:ascii="Times New Roman" w:hAnsi="Times New Roman" w:eastAsia="仿宋_GB2312" w:cs="Times New Roman"/>
          <w:sz w:val="30"/>
          <w:szCs w:val="30"/>
        </w:rPr>
        <w:sectPr>
          <w:headerReference r:id="rId3" w:type="default"/>
          <w:footerReference r:id="rId4" w:type="default"/>
          <w:pgSz w:w="11850" w:h="16783"/>
          <w:pgMar w:top="1587" w:right="1474" w:bottom="1474" w:left="1587" w:header="851" w:footer="992" w:gutter="0"/>
          <w:cols w:space="720" w:num="1"/>
          <w:docGrid w:type="lines" w:linePitch="317" w:charSpace="0"/>
        </w:sectPr>
      </w:pPr>
      <w:r>
        <w:rPr>
          <w:rFonts w:hint="default" w:ascii="Times New Roman" w:hAnsi="Times New Roman" w:eastAsia="仿宋_GB2312" w:cs="Times New Roman"/>
          <w:sz w:val="30"/>
          <w:szCs w:val="30"/>
        </w:rPr>
        <w:t>划申报书</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ascii="Times New Roman" w:hAnsi="Times New Roman" w:eastAsia="仿宋_GB2312" w:cs="Times New Roman"/>
          <w:sz w:val="32"/>
          <w:szCs w:val="32"/>
        </w:rPr>
      </w:pPr>
      <w:r>
        <w:rPr>
          <w:rFonts w:eastAsia="仿宋_GB2312"/>
          <w:sz w:val="30"/>
          <w:szCs w:val="30"/>
        </w:rPr>
        <w:br w:type="page"/>
      </w:r>
      <w:r>
        <w:rPr>
          <w:rFonts w:ascii="Times New Roman" w:hAnsi="Times New Roman" w:eastAsia="仿宋_GB2312" w:cs="Times New Roman"/>
          <w:sz w:val="32"/>
          <w:szCs w:val="32"/>
        </w:rPr>
        <w:t>附</w:t>
      </w:r>
    </w:p>
    <w:p>
      <w:pPr/>
    </w:p>
    <w:p>
      <w:pPr/>
    </w:p>
    <w:p>
      <w:pPr>
        <w:jc w:val="center"/>
        <w:rPr>
          <w:rFonts w:eastAsia="黑体"/>
          <w:sz w:val="44"/>
        </w:rPr>
      </w:pPr>
    </w:p>
    <w:p>
      <w:pPr>
        <w:snapToGrid w:val="0"/>
        <w:spacing w:line="300" w:lineRule="auto"/>
        <w:jc w:val="center"/>
        <w:rPr>
          <w:rFonts w:eastAsia="黑体"/>
          <w:b/>
          <w:bCs/>
          <w:sz w:val="36"/>
          <w:szCs w:val="36"/>
        </w:rPr>
      </w:pPr>
      <w:r>
        <w:rPr>
          <w:rFonts w:eastAsia="黑体"/>
          <w:b/>
          <w:bCs/>
          <w:sz w:val="36"/>
          <w:szCs w:val="36"/>
        </w:rPr>
        <w:t>工程机械高压油泵、液压阀、马达</w:t>
      </w:r>
    </w:p>
    <w:p>
      <w:pPr>
        <w:snapToGrid w:val="0"/>
        <w:spacing w:line="300" w:lineRule="auto"/>
        <w:jc w:val="center"/>
        <w:rPr>
          <w:rFonts w:eastAsia="黑体"/>
          <w:b/>
          <w:bCs/>
          <w:sz w:val="36"/>
          <w:szCs w:val="36"/>
        </w:rPr>
      </w:pPr>
      <w:r>
        <w:rPr>
          <w:rFonts w:hint="eastAsia" w:eastAsia="黑体"/>
          <w:b/>
          <w:bCs/>
          <w:sz w:val="36"/>
          <w:szCs w:val="36"/>
        </w:rPr>
        <w:t>“一条龙”</w:t>
      </w:r>
      <w:r>
        <w:rPr>
          <w:rFonts w:eastAsia="黑体"/>
          <w:b/>
          <w:bCs/>
          <w:sz w:val="36"/>
          <w:szCs w:val="36"/>
        </w:rPr>
        <w:t>应用计划申报书</w:t>
      </w:r>
    </w:p>
    <w:p>
      <w:pPr>
        <w:jc w:val="center"/>
        <w:outlineLvl w:val="0"/>
        <w:rPr>
          <w:rFonts w:eastAsia="仿宋_GB2312"/>
          <w:bCs/>
          <w:sz w:val="36"/>
        </w:rPr>
      </w:pPr>
    </w:p>
    <w:p>
      <w:pPr>
        <w:jc w:val="center"/>
        <w:outlineLvl w:val="0"/>
        <w:rPr>
          <w:rFonts w:eastAsia="仿宋_GB2312"/>
          <w:bCs/>
          <w:sz w:val="36"/>
        </w:rPr>
      </w:pPr>
    </w:p>
    <w:p>
      <w:pPr>
        <w:adjustRightInd w:val="0"/>
        <w:snapToGrid w:val="0"/>
        <w:spacing w:line="360" w:lineRule="auto"/>
        <w:ind w:firstLine="640" w:firstLineChars="200"/>
        <w:rPr>
          <w:rFonts w:eastAsia="黑体"/>
          <w:sz w:val="32"/>
          <w:szCs w:val="32"/>
        </w:rPr>
      </w:pPr>
    </w:p>
    <w:p>
      <w:pPr>
        <w:adjustRightInd w:val="0"/>
        <w:snapToGrid w:val="0"/>
        <w:spacing w:line="360" w:lineRule="auto"/>
        <w:ind w:firstLine="640" w:firstLineChars="200"/>
        <w:rPr>
          <w:rFonts w:eastAsia="黑体"/>
          <w:sz w:val="32"/>
          <w:szCs w:val="32"/>
        </w:rPr>
      </w:pPr>
    </w:p>
    <w:p>
      <w:pPr>
        <w:spacing w:line="480" w:lineRule="auto"/>
        <w:ind w:firstLine="576" w:firstLineChars="192"/>
        <w:rPr>
          <w:rFonts w:eastAsia="黑体"/>
          <w:sz w:val="30"/>
          <w:szCs w:val="30"/>
          <w:lang w:val="zh-CN"/>
        </w:rPr>
      </w:pPr>
      <w:r>
        <w:rPr>
          <w:rFonts w:eastAsia="黑体"/>
          <w:sz w:val="30"/>
          <w:szCs w:val="30"/>
          <w:lang w:val="zh-CN"/>
        </w:rPr>
        <w:t>企业名称：</w:t>
      </w:r>
    </w:p>
    <w:p>
      <w:pPr>
        <w:spacing w:line="480" w:lineRule="auto"/>
        <w:ind w:firstLine="576" w:firstLineChars="192"/>
        <w:rPr>
          <w:rFonts w:eastAsia="黑体"/>
          <w:sz w:val="30"/>
          <w:szCs w:val="30"/>
          <w:lang w:val="zh-CN"/>
        </w:rPr>
      </w:pPr>
      <w:r>
        <w:rPr>
          <w:rFonts w:eastAsia="黑体"/>
          <w:sz w:val="30"/>
          <w:szCs w:val="30"/>
          <w:lang w:val="zh-CN"/>
        </w:rPr>
        <w:t>项目名称：</w:t>
      </w:r>
    </w:p>
    <w:p>
      <w:pPr>
        <w:spacing w:line="480" w:lineRule="auto"/>
        <w:ind w:firstLine="576" w:firstLineChars="192"/>
        <w:rPr>
          <w:rFonts w:eastAsia="黑体"/>
          <w:sz w:val="30"/>
          <w:szCs w:val="30"/>
        </w:rPr>
      </w:pPr>
      <w:r>
        <w:rPr>
          <w:rFonts w:eastAsia="黑体"/>
          <w:sz w:val="30"/>
          <w:szCs w:val="30"/>
        </w:rPr>
        <w:t>责任人（法人代表）：</w:t>
      </w:r>
    </w:p>
    <w:p>
      <w:pPr>
        <w:spacing w:line="480" w:lineRule="auto"/>
        <w:ind w:firstLine="576" w:firstLineChars="192"/>
        <w:rPr>
          <w:rFonts w:eastAsia="黑体"/>
          <w:color w:val="FF0000"/>
          <w:sz w:val="30"/>
          <w:szCs w:val="30"/>
          <w:lang w:val="zh-CN"/>
        </w:rPr>
      </w:pPr>
      <w:r>
        <w:rPr>
          <w:rFonts w:eastAsia="黑体"/>
          <w:sz w:val="30"/>
          <w:szCs w:val="30"/>
          <w:lang w:val="zh-CN"/>
        </w:rPr>
        <w:t>项目技术负责人：</w:t>
      </w:r>
    </w:p>
    <w:p>
      <w:pPr>
        <w:spacing w:line="480" w:lineRule="auto"/>
        <w:ind w:firstLine="576" w:firstLineChars="192"/>
        <w:rPr>
          <w:rFonts w:eastAsia="黑体"/>
          <w:sz w:val="30"/>
          <w:szCs w:val="30"/>
          <w:lang w:val="zh-CN"/>
        </w:rPr>
      </w:pPr>
      <w:r>
        <w:rPr>
          <w:rFonts w:eastAsia="黑体"/>
          <w:sz w:val="30"/>
          <w:szCs w:val="30"/>
          <w:lang w:val="zh-CN"/>
        </w:rPr>
        <w:t>实施年限：20</w:t>
      </w:r>
      <w:r>
        <w:rPr>
          <w:rFonts w:hint="eastAsia" w:eastAsia="黑体"/>
          <w:sz w:val="30"/>
          <w:szCs w:val="30"/>
          <w:u w:val="single"/>
          <w:lang w:val="zh-CN"/>
        </w:rPr>
        <w:t xml:space="preserve">    </w:t>
      </w:r>
      <w:r>
        <w:rPr>
          <w:rFonts w:eastAsia="黑体"/>
          <w:sz w:val="30"/>
          <w:szCs w:val="30"/>
          <w:lang w:val="zh-CN"/>
        </w:rPr>
        <w:t>年</w:t>
      </w:r>
      <w:r>
        <w:rPr>
          <w:rFonts w:hint="eastAsia" w:eastAsia="黑体"/>
          <w:sz w:val="30"/>
          <w:szCs w:val="30"/>
          <w:u w:val="single"/>
          <w:lang w:val="zh-CN"/>
        </w:rPr>
        <w:t xml:space="preserve">    </w:t>
      </w:r>
      <w:r>
        <w:rPr>
          <w:rFonts w:eastAsia="黑体"/>
          <w:sz w:val="30"/>
          <w:szCs w:val="30"/>
          <w:lang w:val="zh-CN"/>
        </w:rPr>
        <w:t>月至20</w:t>
      </w:r>
      <w:r>
        <w:rPr>
          <w:rFonts w:hint="eastAsia" w:eastAsia="黑体"/>
          <w:sz w:val="30"/>
          <w:szCs w:val="30"/>
          <w:u w:val="single"/>
          <w:lang w:val="zh-CN"/>
        </w:rPr>
        <w:t xml:space="preserve">    </w:t>
      </w:r>
      <w:r>
        <w:rPr>
          <w:rFonts w:eastAsia="黑体"/>
          <w:sz w:val="30"/>
          <w:szCs w:val="30"/>
          <w:lang w:val="zh-CN"/>
        </w:rPr>
        <w:t>年</w:t>
      </w:r>
      <w:r>
        <w:rPr>
          <w:rFonts w:hint="eastAsia" w:eastAsia="黑体"/>
          <w:sz w:val="30"/>
          <w:szCs w:val="30"/>
          <w:u w:val="single"/>
          <w:lang w:val="zh-CN"/>
        </w:rPr>
        <w:t xml:space="preserve">    </w:t>
      </w:r>
      <w:r>
        <w:rPr>
          <w:rFonts w:eastAsia="黑体"/>
          <w:sz w:val="30"/>
          <w:szCs w:val="30"/>
          <w:lang w:val="zh-CN"/>
        </w:rPr>
        <w:t>月</w:t>
      </w:r>
    </w:p>
    <w:p>
      <w:pPr>
        <w:spacing w:line="480" w:lineRule="auto"/>
        <w:ind w:firstLine="576" w:firstLineChars="192"/>
        <w:rPr>
          <w:rFonts w:eastAsia="黑体"/>
          <w:sz w:val="30"/>
          <w:szCs w:val="30"/>
          <w:lang w:val="zh-CN"/>
        </w:rPr>
      </w:pPr>
      <w:r>
        <w:rPr>
          <w:rFonts w:eastAsia="黑体"/>
          <w:sz w:val="30"/>
          <w:szCs w:val="30"/>
          <w:lang w:val="zh-CN"/>
        </w:rPr>
        <w:t>填报日期：20</w:t>
      </w:r>
      <w:r>
        <w:rPr>
          <w:rFonts w:hint="eastAsia" w:eastAsia="黑体"/>
          <w:sz w:val="30"/>
          <w:szCs w:val="30"/>
          <w:u w:val="single"/>
          <w:lang w:val="zh-CN"/>
        </w:rPr>
        <w:t xml:space="preserve">    </w:t>
      </w:r>
      <w:r>
        <w:rPr>
          <w:rFonts w:eastAsia="黑体"/>
          <w:sz w:val="30"/>
          <w:szCs w:val="30"/>
          <w:lang w:val="zh-CN"/>
        </w:rPr>
        <w:t>年</w:t>
      </w:r>
      <w:r>
        <w:rPr>
          <w:rFonts w:hint="eastAsia" w:eastAsia="黑体"/>
          <w:sz w:val="30"/>
          <w:szCs w:val="30"/>
          <w:u w:val="single"/>
          <w:lang w:val="zh-CN"/>
        </w:rPr>
        <w:t xml:space="preserve">    </w:t>
      </w:r>
      <w:r>
        <w:rPr>
          <w:rFonts w:eastAsia="黑体"/>
          <w:sz w:val="30"/>
          <w:szCs w:val="30"/>
          <w:lang w:val="zh-CN"/>
        </w:rPr>
        <w:t>月</w:t>
      </w:r>
      <w:r>
        <w:rPr>
          <w:rFonts w:hint="eastAsia" w:eastAsia="黑体"/>
          <w:sz w:val="30"/>
          <w:szCs w:val="30"/>
          <w:u w:val="single"/>
          <w:lang w:val="zh-CN"/>
        </w:rPr>
        <w:t xml:space="preserve">    </w:t>
      </w:r>
      <w:r>
        <w:rPr>
          <w:rFonts w:eastAsia="黑体"/>
          <w:sz w:val="30"/>
          <w:szCs w:val="30"/>
          <w:lang w:val="zh-CN"/>
        </w:rPr>
        <w:t>日</w:t>
      </w:r>
    </w:p>
    <w:p>
      <w:pPr>
        <w:adjustRightInd w:val="0"/>
        <w:snapToGrid w:val="0"/>
        <w:spacing w:line="480" w:lineRule="auto"/>
        <w:ind w:firstLine="640" w:firstLineChars="200"/>
        <w:rPr>
          <w:rFonts w:eastAsia="黑体"/>
          <w:sz w:val="32"/>
          <w:szCs w:val="32"/>
        </w:rPr>
      </w:pPr>
    </w:p>
    <w:p>
      <w:pPr>
        <w:tabs>
          <w:tab w:val="left" w:pos="2300"/>
        </w:tabs>
        <w:adjustRightInd w:val="0"/>
        <w:snapToGrid w:val="0"/>
        <w:spacing w:line="360" w:lineRule="auto"/>
        <w:rPr>
          <w:rFonts w:eastAsia="黑体"/>
          <w:sz w:val="32"/>
          <w:szCs w:val="32"/>
        </w:rPr>
      </w:pPr>
      <w:r>
        <w:rPr>
          <w:rFonts w:eastAsia="黑体"/>
          <w:sz w:val="32"/>
          <w:szCs w:val="32"/>
        </w:rPr>
        <w:tab/>
      </w:r>
    </w:p>
    <w:p>
      <w:pPr>
        <w:adjustRightInd w:val="0"/>
        <w:snapToGrid w:val="0"/>
        <w:spacing w:line="360" w:lineRule="auto"/>
        <w:rPr>
          <w:rFonts w:eastAsia="黑体"/>
          <w:sz w:val="32"/>
          <w:szCs w:val="32"/>
        </w:rPr>
      </w:pPr>
    </w:p>
    <w:p>
      <w:pPr>
        <w:adjustRightInd w:val="0"/>
        <w:snapToGrid w:val="0"/>
        <w:spacing w:line="360" w:lineRule="auto"/>
        <w:rPr>
          <w:rFonts w:eastAsia="黑体"/>
          <w:sz w:val="32"/>
          <w:szCs w:val="32"/>
        </w:rPr>
      </w:pPr>
    </w:p>
    <w:p>
      <w:pPr>
        <w:spacing w:line="360" w:lineRule="auto"/>
        <w:jc w:val="center"/>
        <w:rPr>
          <w:rFonts w:eastAsia="黑体"/>
          <w:sz w:val="30"/>
          <w:szCs w:val="30"/>
        </w:rPr>
      </w:pPr>
      <w:r>
        <w:rPr>
          <w:rFonts w:eastAsia="黑体"/>
          <w:sz w:val="30"/>
          <w:szCs w:val="30"/>
        </w:rPr>
        <w:t>中华人民共和国工业和信息化部制</w:t>
      </w:r>
    </w:p>
    <w:p>
      <w:pPr>
        <w:spacing w:line="360" w:lineRule="auto"/>
        <w:jc w:val="center"/>
        <w:rPr>
          <w:rFonts w:eastAsia="黑体"/>
          <w:sz w:val="30"/>
          <w:szCs w:val="30"/>
        </w:rPr>
        <w:sectPr>
          <w:type w:val="continuous"/>
          <w:pgSz w:w="11850" w:h="16783"/>
          <w:pgMar w:top="1587" w:right="1474" w:bottom="1474" w:left="1587" w:header="851" w:footer="992" w:gutter="0"/>
          <w:cols w:space="720" w:num="1"/>
          <w:docGrid w:type="lines" w:linePitch="317" w:charSpace="0"/>
        </w:sectPr>
      </w:pPr>
      <w:r>
        <w:rPr>
          <w:rFonts w:eastAsia="黑体"/>
          <w:sz w:val="30"/>
          <w:szCs w:val="30"/>
        </w:rPr>
        <w:t>二〇    年    月</w:t>
      </w:r>
    </w:p>
    <w:tbl>
      <w:tblPr>
        <w:tblStyle w:val="9"/>
        <w:tblW w:w="8853" w:type="dxa"/>
        <w:jc w:val="center"/>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2291"/>
        <w:gridCol w:w="154"/>
        <w:gridCol w:w="576"/>
        <w:gridCol w:w="170"/>
        <w:gridCol w:w="476"/>
        <w:gridCol w:w="283"/>
        <w:gridCol w:w="88"/>
        <w:gridCol w:w="1093"/>
        <w:gridCol w:w="1058"/>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8" w:type="dxa"/>
            <w:vAlign w:val="center"/>
          </w:tcPr>
          <w:p>
            <w:pPr>
              <w:pStyle w:val="14"/>
              <w:snapToGrid w:val="0"/>
              <w:jc w:val="center"/>
              <w:rPr>
                <w:rFonts w:ascii="Times New Roman" w:hAnsi="Times New Roman" w:eastAsia="黑体"/>
                <w:color w:val="auto"/>
                <w:sz w:val="21"/>
              </w:rPr>
            </w:pPr>
            <w:r>
              <w:rPr>
                <w:rFonts w:ascii="Times New Roman" w:hAnsi="Times New Roman" w:eastAsia="黑体"/>
                <w:color w:val="auto"/>
                <w:sz w:val="21"/>
              </w:rPr>
              <w:t>单位名称</w:t>
            </w:r>
          </w:p>
        </w:tc>
        <w:tc>
          <w:tcPr>
            <w:tcW w:w="3021" w:type="dxa"/>
            <w:gridSpan w:val="3"/>
            <w:vAlign w:val="center"/>
          </w:tcPr>
          <w:p>
            <w:pPr>
              <w:pStyle w:val="14"/>
              <w:snapToGrid w:val="0"/>
              <w:rPr>
                <w:rFonts w:ascii="Times New Roman" w:hAnsi="Times New Roman" w:eastAsia="仿宋_GB2312"/>
                <w:color w:val="auto"/>
                <w:sz w:val="21"/>
              </w:rPr>
            </w:pPr>
          </w:p>
        </w:tc>
        <w:tc>
          <w:tcPr>
            <w:tcW w:w="929" w:type="dxa"/>
            <w:gridSpan w:val="3"/>
            <w:vAlign w:val="center"/>
          </w:tcPr>
          <w:p>
            <w:pPr>
              <w:pStyle w:val="14"/>
              <w:snapToGrid w:val="0"/>
              <w:rPr>
                <w:rFonts w:ascii="Times New Roman" w:hAnsi="Times New Roman" w:eastAsia="仿宋_GB2312"/>
                <w:color w:val="auto"/>
                <w:sz w:val="21"/>
              </w:rPr>
            </w:pPr>
            <w:r>
              <w:rPr>
                <w:rFonts w:ascii="Times New Roman" w:hAnsi="Times New Roman" w:eastAsia="黑体"/>
                <w:color w:val="auto"/>
                <w:sz w:val="21"/>
              </w:rPr>
              <w:t>注册地</w:t>
            </w:r>
          </w:p>
        </w:tc>
        <w:tc>
          <w:tcPr>
            <w:tcW w:w="1181" w:type="dxa"/>
            <w:gridSpan w:val="2"/>
            <w:vAlign w:val="center"/>
          </w:tcPr>
          <w:p>
            <w:pPr>
              <w:pStyle w:val="14"/>
              <w:snapToGrid w:val="0"/>
              <w:rPr>
                <w:rFonts w:ascii="Times New Roman" w:hAnsi="Times New Roman" w:eastAsia="仿宋_GB2312"/>
                <w:color w:val="auto"/>
                <w:sz w:val="21"/>
              </w:rPr>
            </w:pPr>
          </w:p>
        </w:tc>
        <w:tc>
          <w:tcPr>
            <w:tcW w:w="1058" w:type="dxa"/>
            <w:vAlign w:val="center"/>
          </w:tcPr>
          <w:p>
            <w:pPr>
              <w:pStyle w:val="14"/>
              <w:snapToGrid w:val="0"/>
              <w:rPr>
                <w:rFonts w:ascii="Times New Roman" w:hAnsi="Times New Roman" w:eastAsia="仿宋_GB2312"/>
                <w:color w:val="auto"/>
                <w:sz w:val="21"/>
              </w:rPr>
            </w:pPr>
            <w:r>
              <w:rPr>
                <w:rFonts w:ascii="Times New Roman" w:hAnsi="Times New Roman" w:eastAsia="黑体"/>
                <w:color w:val="auto"/>
                <w:sz w:val="21"/>
              </w:rPr>
              <w:t>机构代码</w:t>
            </w:r>
          </w:p>
        </w:tc>
        <w:tc>
          <w:tcPr>
            <w:tcW w:w="1146" w:type="dxa"/>
            <w:vAlign w:val="center"/>
          </w:tcPr>
          <w:p>
            <w:pPr>
              <w:pStyle w:val="14"/>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8" w:type="dxa"/>
            <w:vAlign w:val="center"/>
          </w:tcPr>
          <w:p>
            <w:pPr>
              <w:pStyle w:val="14"/>
              <w:snapToGrid w:val="0"/>
              <w:jc w:val="center"/>
              <w:rPr>
                <w:rFonts w:ascii="Times New Roman" w:hAnsi="Times New Roman" w:eastAsia="黑体"/>
                <w:color w:val="auto"/>
                <w:sz w:val="21"/>
              </w:rPr>
            </w:pPr>
            <w:r>
              <w:rPr>
                <w:rFonts w:ascii="Times New Roman" w:hAnsi="Times New Roman" w:eastAsia="黑体"/>
                <w:color w:val="auto"/>
                <w:sz w:val="21"/>
              </w:rPr>
              <w:t>项目名称</w:t>
            </w:r>
          </w:p>
        </w:tc>
        <w:tc>
          <w:tcPr>
            <w:tcW w:w="2445" w:type="dxa"/>
            <w:gridSpan w:val="2"/>
            <w:vAlign w:val="center"/>
          </w:tcPr>
          <w:p>
            <w:pPr>
              <w:pStyle w:val="14"/>
              <w:snapToGrid w:val="0"/>
              <w:rPr>
                <w:rFonts w:ascii="Times New Roman" w:hAnsi="Times New Roman" w:eastAsia="仿宋_GB2312"/>
                <w:color w:val="auto"/>
                <w:sz w:val="21"/>
              </w:rPr>
            </w:pPr>
          </w:p>
        </w:tc>
        <w:tc>
          <w:tcPr>
            <w:tcW w:w="1505" w:type="dxa"/>
            <w:gridSpan w:val="4"/>
            <w:vAlign w:val="center"/>
          </w:tcPr>
          <w:p>
            <w:pPr>
              <w:pStyle w:val="14"/>
              <w:snapToGrid w:val="0"/>
              <w:rPr>
                <w:rFonts w:ascii="Times New Roman" w:hAnsi="Times New Roman" w:eastAsia="仿宋_GB2312"/>
                <w:color w:val="auto"/>
                <w:sz w:val="21"/>
              </w:rPr>
            </w:pPr>
            <w:r>
              <w:rPr>
                <w:rFonts w:hint="eastAsia" w:ascii="Times New Roman" w:hAnsi="Times New Roman" w:eastAsia="黑体"/>
                <w:color w:val="auto"/>
                <w:sz w:val="21"/>
              </w:rPr>
              <w:t>项目</w:t>
            </w:r>
            <w:r>
              <w:rPr>
                <w:rFonts w:ascii="Times New Roman" w:hAnsi="Times New Roman" w:eastAsia="黑体"/>
                <w:color w:val="auto"/>
                <w:sz w:val="21"/>
              </w:rPr>
              <w:t>实施期</w:t>
            </w:r>
          </w:p>
        </w:tc>
        <w:tc>
          <w:tcPr>
            <w:tcW w:w="3385" w:type="dxa"/>
            <w:gridSpan w:val="4"/>
            <w:vAlign w:val="center"/>
          </w:tcPr>
          <w:p>
            <w:pPr>
              <w:pStyle w:val="14"/>
              <w:snapToGrid w:val="0"/>
              <w:rPr>
                <w:rFonts w:ascii="Times New Roman" w:hAnsi="Times New Roman" w:eastAsia="仿宋_GB2312"/>
                <w:color w:val="auto"/>
                <w:sz w:val="21"/>
              </w:rPr>
            </w:pPr>
            <w:r>
              <w:rPr>
                <w:rFonts w:ascii="Times New Roman" w:hAnsi="Times New Roman" w:eastAsia="仿宋_GB2312"/>
                <w:color w:val="auto"/>
                <w:sz w:val="21"/>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8" w:type="dxa"/>
            <w:vMerge w:val="restart"/>
            <w:vAlign w:val="center"/>
          </w:tcPr>
          <w:p>
            <w:pPr>
              <w:pStyle w:val="14"/>
              <w:snapToGrid w:val="0"/>
              <w:jc w:val="center"/>
              <w:rPr>
                <w:rFonts w:ascii="Times New Roman" w:hAnsi="Times New Roman" w:eastAsia="黑体"/>
                <w:color w:val="auto"/>
                <w:sz w:val="21"/>
              </w:rPr>
            </w:pPr>
            <w:r>
              <w:rPr>
                <w:rFonts w:ascii="Times New Roman" w:hAnsi="Times New Roman" w:eastAsia="黑体"/>
                <w:color w:val="auto"/>
                <w:sz w:val="21"/>
              </w:rPr>
              <w:t>所属产业链</w:t>
            </w:r>
          </w:p>
        </w:tc>
        <w:tc>
          <w:tcPr>
            <w:tcW w:w="3191" w:type="dxa"/>
            <w:gridSpan w:val="4"/>
            <w:tcBorders>
              <w:bottom w:val="nil"/>
              <w:right w:val="nil"/>
            </w:tcBorders>
            <w:vAlign w:val="center"/>
          </w:tcPr>
          <w:p>
            <w:pPr>
              <w:pStyle w:val="14"/>
              <w:snapToGrid w:val="0"/>
              <w:rPr>
                <w:rFonts w:ascii="Times New Roman" w:hAnsi="Times New Roman" w:eastAsia="仿宋"/>
                <w:color w:val="auto"/>
                <w:sz w:val="21"/>
              </w:rPr>
            </w:pPr>
            <w:r>
              <w:rPr>
                <w:rFonts w:hint="eastAsia" w:ascii="Times New Roman" w:hAnsi="Times New Roman" w:eastAsia="仿宋"/>
                <w:color w:val="auto"/>
                <w:sz w:val="21"/>
                <w:szCs w:val="20"/>
              </w:rPr>
              <w:t>□整体式多路阀产业链</w:t>
            </w:r>
          </w:p>
        </w:tc>
        <w:tc>
          <w:tcPr>
            <w:tcW w:w="4144" w:type="dxa"/>
            <w:gridSpan w:val="6"/>
            <w:tcBorders>
              <w:left w:val="nil"/>
              <w:bottom w:val="nil"/>
            </w:tcBorders>
            <w:vAlign w:val="center"/>
          </w:tcPr>
          <w:p>
            <w:pPr>
              <w:pStyle w:val="14"/>
              <w:snapToGrid w:val="0"/>
              <w:rPr>
                <w:rFonts w:ascii="Times New Roman" w:hAnsi="Times New Roman" w:eastAsia="仿宋"/>
                <w:color w:val="auto"/>
                <w:sz w:val="21"/>
              </w:rPr>
            </w:pPr>
            <w:r>
              <w:rPr>
                <w:rFonts w:hint="eastAsia" w:ascii="Times New Roman" w:hAnsi="Times New Roman" w:eastAsia="仿宋"/>
                <w:color w:val="auto"/>
                <w:sz w:val="21"/>
                <w:szCs w:val="20"/>
              </w:rPr>
              <w:t>□高压轴向柱塞回转马达产业链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8" w:type="dxa"/>
            <w:vMerge w:val="continue"/>
            <w:vAlign w:val="center"/>
          </w:tcPr>
          <w:p>
            <w:pPr>
              <w:pStyle w:val="14"/>
              <w:snapToGrid w:val="0"/>
              <w:rPr>
                <w:rFonts w:ascii="Times New Roman" w:hAnsi="Times New Roman" w:eastAsia="黑体"/>
              </w:rPr>
            </w:pPr>
          </w:p>
        </w:tc>
        <w:tc>
          <w:tcPr>
            <w:tcW w:w="3191" w:type="dxa"/>
            <w:gridSpan w:val="4"/>
            <w:tcBorders>
              <w:top w:val="nil"/>
              <w:right w:val="nil"/>
            </w:tcBorders>
            <w:vAlign w:val="center"/>
          </w:tcPr>
          <w:p>
            <w:pPr>
              <w:pStyle w:val="14"/>
              <w:snapToGrid w:val="0"/>
              <w:rPr>
                <w:rFonts w:ascii="Times New Roman" w:hAnsi="Times New Roman" w:eastAsia="仿宋"/>
              </w:rPr>
            </w:pPr>
            <w:r>
              <w:rPr>
                <w:rFonts w:hint="eastAsia" w:ascii="Times New Roman" w:hAnsi="Times New Roman" w:eastAsia="仿宋"/>
                <w:color w:val="auto"/>
                <w:sz w:val="21"/>
                <w:szCs w:val="20"/>
              </w:rPr>
              <w:t>□高压轴向柱塞行走马达产业链</w:t>
            </w:r>
          </w:p>
        </w:tc>
        <w:tc>
          <w:tcPr>
            <w:tcW w:w="4144" w:type="dxa"/>
            <w:gridSpan w:val="6"/>
            <w:tcBorders>
              <w:top w:val="nil"/>
              <w:left w:val="nil"/>
            </w:tcBorders>
            <w:vAlign w:val="center"/>
          </w:tcPr>
          <w:p>
            <w:pPr>
              <w:pStyle w:val="14"/>
              <w:snapToGrid w:val="0"/>
              <w:rPr>
                <w:rFonts w:ascii="Times New Roman" w:hAnsi="Times New Roman" w:eastAsia="仿宋"/>
                <w:color w:val="auto"/>
                <w:sz w:val="21"/>
              </w:rPr>
            </w:pPr>
            <w:r>
              <w:rPr>
                <w:rFonts w:hint="eastAsia" w:ascii="Times New Roman" w:hAnsi="Times New Roman" w:eastAsia="仿宋"/>
                <w:color w:val="auto"/>
                <w:sz w:val="21"/>
                <w:szCs w:val="20"/>
              </w:rPr>
              <w:t>□开式轴向柱塞双泵产业链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8" w:type="dxa"/>
            <w:vAlign w:val="center"/>
          </w:tcPr>
          <w:p>
            <w:pPr>
              <w:pStyle w:val="14"/>
              <w:snapToGrid w:val="0"/>
              <w:jc w:val="center"/>
              <w:rPr>
                <w:rFonts w:ascii="Times New Roman" w:hAnsi="Times New Roman" w:eastAsia="黑体"/>
                <w:color w:val="auto"/>
                <w:sz w:val="21"/>
              </w:rPr>
            </w:pPr>
            <w:r>
              <w:rPr>
                <w:rFonts w:ascii="Times New Roman" w:hAnsi="Times New Roman" w:eastAsia="黑体"/>
                <w:color w:val="auto"/>
                <w:sz w:val="21"/>
              </w:rPr>
              <w:t>所属产业链</w:t>
            </w:r>
          </w:p>
          <w:p>
            <w:pPr>
              <w:pStyle w:val="14"/>
              <w:snapToGrid w:val="0"/>
              <w:jc w:val="center"/>
              <w:rPr>
                <w:rFonts w:ascii="Times New Roman" w:hAnsi="Times New Roman" w:eastAsia="黑体"/>
                <w:color w:val="auto"/>
                <w:sz w:val="21"/>
              </w:rPr>
            </w:pPr>
            <w:r>
              <w:rPr>
                <w:rFonts w:ascii="Times New Roman" w:hAnsi="Times New Roman" w:eastAsia="黑体"/>
                <w:color w:val="auto"/>
                <w:sz w:val="21"/>
              </w:rPr>
              <w:t>关键环节</w:t>
            </w:r>
          </w:p>
        </w:tc>
        <w:tc>
          <w:tcPr>
            <w:tcW w:w="7335" w:type="dxa"/>
            <w:gridSpan w:val="10"/>
            <w:vAlign w:val="center"/>
          </w:tcPr>
          <w:p>
            <w:pPr>
              <w:pStyle w:val="14"/>
              <w:snapToGrid w:val="0"/>
              <w:rPr>
                <w:rFonts w:hint="eastAsia" w:ascii="仿宋_GB2312" w:hAnsi="仿宋_GB2312" w:eastAsia="仿宋_GB2312" w:cs="仿宋_GB2312"/>
                <w:color w:val="auto"/>
                <w:sz w:val="21"/>
                <w:szCs w:val="20"/>
              </w:rPr>
            </w:pPr>
            <w:r>
              <w:rPr>
                <w:rFonts w:hint="eastAsia" w:ascii="仿宋_GB2312" w:hAnsi="仿宋_GB2312" w:eastAsia="仿宋_GB2312" w:cs="仿宋_GB2312"/>
                <w:color w:val="auto"/>
                <w:sz w:val="21"/>
                <w:szCs w:val="20"/>
              </w:rPr>
              <w:t xml:space="preserve">□高品质铸件  </w:t>
            </w:r>
            <w:r>
              <w:rPr>
                <w:rFonts w:hint="eastAsia" w:ascii="仿宋_GB2312" w:hAnsi="仿宋_GB2312" w:eastAsia="仿宋_GB2312" w:cs="仿宋_GB2312"/>
                <w:color w:val="auto"/>
                <w:sz w:val="21"/>
                <w:szCs w:val="20"/>
                <w:lang w:val="en-US" w:eastAsia="zh-CN"/>
              </w:rPr>
              <w:t xml:space="preserve">       </w:t>
            </w:r>
            <w:r>
              <w:rPr>
                <w:rFonts w:hint="eastAsia" w:ascii="仿宋_GB2312" w:hAnsi="仿宋_GB2312" w:eastAsia="仿宋_GB2312" w:cs="仿宋_GB2312"/>
                <w:color w:val="auto"/>
                <w:sz w:val="21"/>
                <w:szCs w:val="20"/>
              </w:rPr>
              <w:t xml:space="preserve">□材料热处理和表面处理 □阀杆及阀芯硬度控制  </w:t>
            </w:r>
          </w:p>
          <w:p>
            <w:pPr>
              <w:pStyle w:val="14"/>
              <w:snapToGrid w:val="0"/>
              <w:rPr>
                <w:rFonts w:hint="eastAsia" w:ascii="仿宋_GB2312" w:hAnsi="仿宋_GB2312" w:eastAsia="仿宋_GB2312" w:cs="仿宋_GB2312"/>
                <w:color w:val="auto"/>
                <w:sz w:val="21"/>
                <w:szCs w:val="20"/>
              </w:rPr>
            </w:pPr>
            <w:r>
              <w:rPr>
                <w:rFonts w:hint="eastAsia" w:ascii="仿宋_GB2312" w:hAnsi="仿宋_GB2312" w:eastAsia="仿宋_GB2312" w:cs="仿宋_GB2312"/>
                <w:color w:val="auto"/>
                <w:sz w:val="21"/>
                <w:szCs w:val="20"/>
              </w:rPr>
              <w:t xml:space="preserve">□关键零部件加工技术 □配套高强度螺栓  </w:t>
            </w:r>
            <w:r>
              <w:rPr>
                <w:rFonts w:hint="eastAsia" w:ascii="仿宋_GB2312" w:hAnsi="仿宋_GB2312" w:eastAsia="仿宋_GB2312" w:cs="仿宋_GB2312"/>
                <w:color w:val="auto"/>
                <w:sz w:val="21"/>
                <w:szCs w:val="20"/>
                <w:lang w:val="en-US" w:eastAsia="zh-CN"/>
              </w:rPr>
              <w:t xml:space="preserve">     </w:t>
            </w:r>
            <w:r>
              <w:rPr>
                <w:rFonts w:hint="eastAsia" w:ascii="仿宋_GB2312" w:hAnsi="仿宋_GB2312" w:eastAsia="仿宋_GB2312" w:cs="仿宋_GB2312"/>
                <w:color w:val="auto"/>
                <w:sz w:val="21"/>
                <w:szCs w:val="20"/>
              </w:rPr>
              <w:t xml:space="preserve">□配套密封件□控制技术  </w:t>
            </w:r>
          </w:p>
          <w:p>
            <w:pPr>
              <w:pStyle w:val="14"/>
              <w:snapToGrid w:val="0"/>
              <w:rPr>
                <w:rFonts w:ascii="Times New Roman" w:hAnsi="Times New Roman" w:eastAsia="仿宋"/>
                <w:color w:val="auto"/>
                <w:sz w:val="21"/>
              </w:rPr>
            </w:pPr>
            <w:r>
              <w:rPr>
                <w:rFonts w:hint="eastAsia" w:ascii="仿宋_GB2312" w:hAnsi="仿宋_GB2312" w:eastAsia="仿宋_GB2312" w:cs="仿宋_GB2312"/>
                <w:color w:val="auto"/>
                <w:sz w:val="21"/>
                <w:szCs w:val="20"/>
              </w:rPr>
              <w:t>□产品标准制定</w:t>
            </w:r>
            <w:r>
              <w:rPr>
                <w:rFonts w:hint="eastAsia" w:ascii="仿宋_GB2312" w:hAnsi="仿宋_GB2312" w:eastAsia="仿宋_GB2312" w:cs="仿宋_GB2312"/>
                <w:color w:val="auto"/>
                <w:sz w:val="21"/>
                <w:szCs w:val="20"/>
                <w:lang w:val="en-US" w:eastAsia="zh-CN"/>
              </w:rPr>
              <w:t xml:space="preserve">       </w:t>
            </w:r>
            <w:r>
              <w:rPr>
                <w:rFonts w:hint="eastAsia" w:ascii="仿宋_GB2312" w:hAnsi="仿宋_GB2312" w:eastAsia="仿宋_GB2312" w:cs="仿宋_GB2312"/>
                <w:color w:val="auto"/>
                <w:sz w:val="21"/>
                <w:szCs w:val="20"/>
              </w:rPr>
              <w:t>□试验检测、评估及设备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518" w:type="dxa"/>
            <w:vMerge w:val="restart"/>
            <w:vAlign w:val="center"/>
          </w:tcPr>
          <w:p>
            <w:pPr>
              <w:pStyle w:val="14"/>
              <w:snapToGrid w:val="0"/>
              <w:jc w:val="center"/>
              <w:rPr>
                <w:rFonts w:ascii="Times New Roman" w:hAnsi="Times New Roman" w:eastAsia="黑体"/>
                <w:color w:val="auto"/>
                <w:sz w:val="21"/>
              </w:rPr>
            </w:pPr>
            <w:r>
              <w:rPr>
                <w:rFonts w:ascii="Times New Roman" w:hAnsi="Times New Roman" w:eastAsia="黑体"/>
                <w:color w:val="auto"/>
                <w:sz w:val="21"/>
              </w:rPr>
              <w:t>所属整机产品</w:t>
            </w:r>
          </w:p>
        </w:tc>
        <w:tc>
          <w:tcPr>
            <w:tcW w:w="3667" w:type="dxa"/>
            <w:gridSpan w:val="5"/>
            <w:tcBorders>
              <w:bottom w:val="nil"/>
              <w:right w:val="nil"/>
            </w:tcBorders>
            <w:vAlign w:val="center"/>
          </w:tcPr>
          <w:p>
            <w:pPr>
              <w:pStyle w:val="14"/>
              <w:snapToGrid w:val="0"/>
              <w:rPr>
                <w:rFonts w:ascii="Times New Roman" w:hAnsi="Times New Roman" w:eastAsia="仿宋"/>
                <w:color w:val="auto"/>
                <w:sz w:val="21"/>
              </w:rPr>
            </w:pPr>
            <w:r>
              <w:rPr>
                <w:rFonts w:hint="eastAsia" w:ascii="Times New Roman" w:hAnsi="Times New Roman" w:eastAsia="仿宋"/>
                <w:color w:val="auto"/>
                <w:sz w:val="21"/>
                <w:szCs w:val="20"/>
              </w:rPr>
              <w:t>□</w:t>
            </w:r>
            <w:r>
              <w:rPr>
                <w:rFonts w:ascii="Times New Roman" w:hAnsi="Times New Roman" w:eastAsia="仿宋"/>
                <w:color w:val="auto"/>
                <w:sz w:val="21"/>
                <w:szCs w:val="20"/>
              </w:rPr>
              <w:t>20级液压挖掘机</w:t>
            </w:r>
          </w:p>
        </w:tc>
        <w:tc>
          <w:tcPr>
            <w:tcW w:w="3668" w:type="dxa"/>
            <w:gridSpan w:val="5"/>
            <w:tcBorders>
              <w:left w:val="nil"/>
              <w:bottom w:val="nil"/>
            </w:tcBorders>
            <w:vAlign w:val="center"/>
          </w:tcPr>
          <w:p>
            <w:pPr>
              <w:pStyle w:val="14"/>
              <w:snapToGrid w:val="0"/>
              <w:rPr>
                <w:rFonts w:ascii="Times New Roman" w:hAnsi="Times New Roman" w:eastAsia="仿宋"/>
                <w:color w:val="auto"/>
                <w:sz w:val="21"/>
              </w:rPr>
            </w:pPr>
            <w:r>
              <w:rPr>
                <w:rFonts w:hint="eastAsia" w:ascii="Times New Roman" w:hAnsi="Times New Roman" w:eastAsia="仿宋"/>
                <w:color w:val="auto"/>
                <w:sz w:val="21"/>
                <w:szCs w:val="20"/>
              </w:rPr>
              <w:t>□</w:t>
            </w:r>
            <w:r>
              <w:rPr>
                <w:rFonts w:ascii="Times New Roman" w:hAnsi="Times New Roman" w:eastAsia="仿宋"/>
                <w:color w:val="auto"/>
                <w:sz w:val="21"/>
                <w:szCs w:val="20"/>
              </w:rPr>
              <w:t>30t级液压挖掘机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1518" w:type="dxa"/>
            <w:vMerge w:val="continue"/>
            <w:vAlign w:val="center"/>
          </w:tcPr>
          <w:p>
            <w:pPr>
              <w:pStyle w:val="14"/>
              <w:snapToGrid w:val="0"/>
              <w:jc w:val="center"/>
              <w:rPr>
                <w:rFonts w:ascii="Times New Roman" w:hAnsi="Times New Roman" w:eastAsia="黑体"/>
                <w:color w:val="auto"/>
                <w:sz w:val="21"/>
              </w:rPr>
            </w:pPr>
          </w:p>
        </w:tc>
        <w:tc>
          <w:tcPr>
            <w:tcW w:w="3667" w:type="dxa"/>
            <w:gridSpan w:val="5"/>
            <w:tcBorders>
              <w:bottom w:val="nil"/>
              <w:right w:val="nil"/>
            </w:tcBorders>
            <w:vAlign w:val="center"/>
          </w:tcPr>
          <w:p>
            <w:pPr>
              <w:pStyle w:val="14"/>
              <w:snapToGrid w:val="0"/>
              <w:rPr>
                <w:rFonts w:ascii="Times New Roman" w:hAnsi="Times New Roman" w:eastAsia="仿宋"/>
                <w:color w:val="auto"/>
                <w:sz w:val="21"/>
                <w:szCs w:val="20"/>
              </w:rPr>
            </w:pPr>
            <w:r>
              <w:rPr>
                <w:rFonts w:hint="eastAsia" w:ascii="Times New Roman" w:hAnsi="Times New Roman" w:eastAsia="仿宋"/>
                <w:color w:val="auto"/>
                <w:sz w:val="21"/>
                <w:szCs w:val="20"/>
              </w:rPr>
              <w:t>□</w:t>
            </w:r>
            <w:r>
              <w:rPr>
                <w:rFonts w:ascii="Times New Roman" w:hAnsi="Times New Roman" w:eastAsia="仿宋"/>
                <w:color w:val="auto"/>
                <w:sz w:val="21"/>
                <w:szCs w:val="20"/>
              </w:rPr>
              <w:t>50t级以上大型汽车起重机</w:t>
            </w:r>
          </w:p>
        </w:tc>
        <w:tc>
          <w:tcPr>
            <w:tcW w:w="3668" w:type="dxa"/>
            <w:gridSpan w:val="5"/>
            <w:tcBorders>
              <w:left w:val="nil"/>
              <w:bottom w:val="nil"/>
            </w:tcBorders>
            <w:vAlign w:val="center"/>
          </w:tcPr>
          <w:p>
            <w:pPr>
              <w:pStyle w:val="14"/>
              <w:snapToGrid w:val="0"/>
              <w:rPr>
                <w:rFonts w:ascii="Times New Roman" w:hAnsi="Times New Roman" w:eastAsia="仿宋"/>
                <w:color w:val="auto"/>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8" w:type="dxa"/>
            <w:vAlign w:val="center"/>
          </w:tcPr>
          <w:p>
            <w:pPr>
              <w:pStyle w:val="14"/>
              <w:snapToGrid w:val="0"/>
              <w:jc w:val="center"/>
              <w:rPr>
                <w:rFonts w:ascii="Times New Roman" w:hAnsi="Times New Roman" w:eastAsia="黑体"/>
                <w:color w:val="auto"/>
                <w:sz w:val="21"/>
              </w:rPr>
            </w:pPr>
            <w:r>
              <w:rPr>
                <w:rFonts w:ascii="Times New Roman" w:hAnsi="Times New Roman" w:eastAsia="黑体"/>
                <w:color w:val="auto"/>
                <w:sz w:val="21"/>
              </w:rPr>
              <w:t>主要负责人</w:t>
            </w:r>
          </w:p>
        </w:tc>
        <w:tc>
          <w:tcPr>
            <w:tcW w:w="2291" w:type="dxa"/>
            <w:vAlign w:val="center"/>
          </w:tcPr>
          <w:p>
            <w:pPr>
              <w:pStyle w:val="14"/>
              <w:snapToGrid w:val="0"/>
              <w:rPr>
                <w:rFonts w:ascii="Times New Roman" w:hAnsi="Times New Roman" w:eastAsia="仿宋_GB2312"/>
                <w:color w:val="auto"/>
                <w:sz w:val="21"/>
              </w:rPr>
            </w:pPr>
          </w:p>
        </w:tc>
        <w:tc>
          <w:tcPr>
            <w:tcW w:w="1747" w:type="dxa"/>
            <w:gridSpan w:val="6"/>
            <w:vAlign w:val="center"/>
          </w:tcPr>
          <w:p>
            <w:pPr>
              <w:pStyle w:val="14"/>
              <w:snapToGrid w:val="0"/>
              <w:jc w:val="center"/>
              <w:rPr>
                <w:rFonts w:ascii="Times New Roman" w:hAnsi="Times New Roman" w:eastAsia="黑体"/>
                <w:color w:val="auto"/>
                <w:sz w:val="21"/>
              </w:rPr>
            </w:pPr>
            <w:r>
              <w:rPr>
                <w:rFonts w:ascii="Times New Roman" w:hAnsi="Times New Roman" w:eastAsia="黑体"/>
                <w:color w:val="auto"/>
                <w:sz w:val="21"/>
              </w:rPr>
              <w:t>联系电话（手机）</w:t>
            </w:r>
          </w:p>
        </w:tc>
        <w:tc>
          <w:tcPr>
            <w:tcW w:w="3297" w:type="dxa"/>
            <w:gridSpan w:val="3"/>
            <w:vAlign w:val="center"/>
          </w:tcPr>
          <w:p>
            <w:pPr>
              <w:pStyle w:val="14"/>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18" w:type="dxa"/>
            <w:vAlign w:val="center"/>
          </w:tcPr>
          <w:p>
            <w:pPr>
              <w:pStyle w:val="14"/>
              <w:snapToGrid w:val="0"/>
              <w:jc w:val="center"/>
              <w:rPr>
                <w:rFonts w:ascii="Times New Roman" w:hAnsi="Times New Roman" w:eastAsia="黑体"/>
                <w:color w:val="auto"/>
                <w:sz w:val="21"/>
              </w:rPr>
            </w:pPr>
            <w:r>
              <w:rPr>
                <w:rFonts w:ascii="Times New Roman" w:hAnsi="Times New Roman" w:eastAsia="黑体"/>
                <w:color w:val="auto"/>
                <w:sz w:val="21"/>
              </w:rPr>
              <w:t>电子邮箱</w:t>
            </w:r>
          </w:p>
        </w:tc>
        <w:tc>
          <w:tcPr>
            <w:tcW w:w="2291" w:type="dxa"/>
            <w:vAlign w:val="center"/>
          </w:tcPr>
          <w:p>
            <w:pPr>
              <w:pStyle w:val="14"/>
              <w:snapToGrid w:val="0"/>
              <w:rPr>
                <w:rFonts w:ascii="Times New Roman" w:hAnsi="Times New Roman" w:eastAsia="仿宋_GB2312"/>
                <w:color w:val="auto"/>
                <w:sz w:val="21"/>
              </w:rPr>
            </w:pPr>
          </w:p>
        </w:tc>
        <w:tc>
          <w:tcPr>
            <w:tcW w:w="1747" w:type="dxa"/>
            <w:gridSpan w:val="6"/>
            <w:vAlign w:val="center"/>
          </w:tcPr>
          <w:p>
            <w:pPr>
              <w:pStyle w:val="14"/>
              <w:snapToGrid w:val="0"/>
              <w:jc w:val="center"/>
              <w:rPr>
                <w:rFonts w:ascii="Times New Roman" w:hAnsi="Times New Roman" w:eastAsia="黑体"/>
                <w:color w:val="auto"/>
                <w:sz w:val="21"/>
              </w:rPr>
            </w:pPr>
            <w:r>
              <w:rPr>
                <w:rFonts w:ascii="Times New Roman" w:hAnsi="Times New Roman" w:eastAsia="黑体"/>
                <w:color w:val="auto"/>
                <w:sz w:val="21"/>
              </w:rPr>
              <w:t>传   真</w:t>
            </w:r>
          </w:p>
        </w:tc>
        <w:tc>
          <w:tcPr>
            <w:tcW w:w="3297" w:type="dxa"/>
            <w:gridSpan w:val="3"/>
            <w:vAlign w:val="center"/>
          </w:tcPr>
          <w:p>
            <w:pPr>
              <w:pStyle w:val="14"/>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4" w:hRule="atLeast"/>
          <w:jc w:val="center"/>
        </w:trPr>
        <w:tc>
          <w:tcPr>
            <w:tcW w:w="8853" w:type="dxa"/>
            <w:gridSpan w:val="11"/>
          </w:tcPr>
          <w:p>
            <w:pPr>
              <w:pStyle w:val="14"/>
              <w:snapToGrid w:val="0"/>
              <w:rPr>
                <w:rFonts w:ascii="Times New Roman" w:hAnsi="Times New Roman" w:eastAsia="仿宋_GB2312"/>
                <w:color w:val="auto"/>
                <w:sz w:val="21"/>
              </w:rPr>
            </w:pPr>
            <w:r>
              <w:rPr>
                <w:rFonts w:ascii="Times New Roman" w:hAnsi="Times New Roman" w:eastAsia="黑体"/>
                <w:color w:val="auto"/>
                <w:sz w:val="21"/>
              </w:rPr>
              <w:t>参与单位满足所属</w:t>
            </w:r>
            <w:r>
              <w:rPr>
                <w:rFonts w:hint="eastAsia" w:ascii="Times New Roman" w:hAnsi="Times New Roman" w:eastAsia="黑体"/>
                <w:color w:val="auto"/>
                <w:sz w:val="21"/>
              </w:rPr>
              <w:t>“一条龙”</w:t>
            </w:r>
            <w:r>
              <w:rPr>
                <w:rFonts w:ascii="Times New Roman" w:hAnsi="Times New Roman" w:eastAsia="黑体"/>
                <w:color w:val="auto"/>
                <w:sz w:val="21"/>
              </w:rPr>
              <w:t>环节</w:t>
            </w:r>
            <w:r>
              <w:rPr>
                <w:rFonts w:hint="eastAsia" w:ascii="Times New Roman" w:hAnsi="Times New Roman" w:eastAsia="黑体"/>
                <w:color w:val="auto"/>
                <w:sz w:val="21"/>
              </w:rPr>
              <w:t>供</w:t>
            </w:r>
            <w:r>
              <w:rPr>
                <w:rFonts w:ascii="Times New Roman" w:hAnsi="Times New Roman" w:eastAsia="黑体"/>
                <w:color w:val="auto"/>
                <w:sz w:val="21"/>
              </w:rPr>
              <w:t>需概述</w:t>
            </w:r>
            <w:r>
              <w:rPr>
                <w:rFonts w:ascii="Times New Roman" w:hAnsi="Times New Roman" w:eastAsia="仿宋_GB2312"/>
                <w:color w:val="auto"/>
                <w:sz w:val="21"/>
              </w:rPr>
              <w:t>（包括：</w:t>
            </w:r>
          </w:p>
          <w:p>
            <w:pPr>
              <w:pStyle w:val="14"/>
              <w:numPr>
                <w:ilvl w:val="0"/>
                <w:numId w:val="7"/>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企业基本情况；</w:t>
            </w:r>
          </w:p>
          <w:p>
            <w:pPr>
              <w:pStyle w:val="14"/>
              <w:numPr>
                <w:ilvl w:val="0"/>
                <w:numId w:val="7"/>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重点产品、工艺符合性质，与“一条龙”其他环节在产品、工艺上的直接关联性；</w:t>
            </w:r>
          </w:p>
          <w:p>
            <w:pPr>
              <w:pStyle w:val="14"/>
              <w:numPr>
                <w:ilvl w:val="0"/>
                <w:numId w:val="7"/>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创新能力、产品技术和工艺水平领先情况；</w:t>
            </w:r>
          </w:p>
          <w:p>
            <w:pPr>
              <w:pStyle w:val="14"/>
              <w:numPr>
                <w:ilvl w:val="0"/>
                <w:numId w:val="7"/>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对产业链上游的需求，以及对下游可提供的产品或服务；近年来企业产品和技术实际使用和应用情况；</w:t>
            </w:r>
          </w:p>
          <w:p>
            <w:pPr>
              <w:pStyle w:val="14"/>
              <w:numPr>
                <w:ilvl w:val="0"/>
                <w:numId w:val="7"/>
              </w:numPr>
              <w:snapToGrid w:val="0"/>
              <w:ind w:firstLine="420" w:firstLineChars="200"/>
              <w:rPr>
                <w:rFonts w:hint="eastAsia" w:ascii="Times New Roman" w:hAnsi="Times New Roman" w:eastAsia="仿宋_GB2312"/>
                <w:color w:val="auto"/>
                <w:sz w:val="21"/>
              </w:rPr>
            </w:pPr>
            <w:r>
              <w:rPr>
                <w:rFonts w:hint="eastAsia" w:ascii="Times New Roman" w:hAnsi="Times New Roman" w:eastAsia="仿宋_GB2312"/>
                <w:color w:val="auto"/>
                <w:sz w:val="21"/>
              </w:rPr>
              <w:t>近三年经营业绩，遵纪守法情况，管理制度建设情况；并填列下表：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2014、2015、</w:t>
            </w:r>
            <w:r>
              <w:rPr>
                <w:rFonts w:hint="eastAsia" w:ascii="黑体" w:hAnsi="黑体" w:eastAsia="黑体" w:cs="黑体"/>
                <w:b/>
                <w:bCs/>
                <w:sz w:val="21"/>
                <w:szCs w:val="21"/>
                <w:lang w:val="en-US" w:eastAsia="zh-CN"/>
              </w:rPr>
              <w:t>2016</w:t>
            </w:r>
            <w:r>
              <w:rPr>
                <w:rFonts w:hint="eastAsia" w:ascii="黑体" w:hAnsi="黑体" w:eastAsia="黑体" w:cs="黑体"/>
                <w:b/>
                <w:bCs/>
                <w:sz w:val="21"/>
                <w:szCs w:val="21"/>
                <w:lang w:val="en-US" w:eastAsia="zh-CN"/>
              </w:rPr>
              <w:t>年企业情况</w:t>
            </w:r>
          </w:p>
          <w:tbl>
            <w:tblPr>
              <w:tblStyle w:val="10"/>
              <w:tblW w:w="5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技术</w:t>
                  </w: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研发投入占营收比例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当年申请专利数，截至年底累计授权专利数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市场</w:t>
                  </w: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细分领域市场份额、市场排名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财务</w:t>
                  </w: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总资产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continue"/>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continue"/>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年度营业收入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continue"/>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年度净利润</w:t>
                  </w:r>
                </w:p>
              </w:tc>
            </w:tr>
          </w:tbl>
          <w:p>
            <w:pPr>
              <w:pStyle w:val="14"/>
              <w:numPr>
                <w:ilvl w:val="0"/>
                <w:numId w:val="0"/>
              </w:numPr>
              <w:snapToGrid w:val="0"/>
              <w:ind w:left="420" w:firstLine="360" w:firstLineChars="0"/>
              <w:rPr>
                <w:rFonts w:ascii="Times New Roman" w:hAnsi="Times New Roman" w:eastAsia="仿宋_GB2312"/>
                <w:color w:val="auto"/>
                <w:sz w:val="21"/>
              </w:rPr>
            </w:pPr>
          </w:p>
          <w:p>
            <w:pPr>
              <w:pStyle w:val="14"/>
              <w:numPr>
                <w:ilvl w:val="0"/>
                <w:numId w:val="7"/>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企业参与“一条龙”应用计划的运行工作机制及措施；</w:t>
            </w:r>
          </w:p>
          <w:p>
            <w:pPr>
              <w:pStyle w:val="14"/>
              <w:numPr>
                <w:ilvl w:val="0"/>
                <w:numId w:val="7"/>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推荐的龙头企业、参与单位和示范工程；</w:t>
            </w:r>
          </w:p>
          <w:p>
            <w:pPr>
              <w:pStyle w:val="14"/>
              <w:numPr>
                <w:ilvl w:val="0"/>
                <w:numId w:val="7"/>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存在的问题和建议等）。</w:t>
            </w:r>
          </w:p>
          <w:p>
            <w:pPr>
              <w:pStyle w:val="14"/>
              <w:snapToGrid w:val="0"/>
              <w:rPr>
                <w:rFonts w:ascii="Times New Roman" w:hAnsi="Times New Roman" w:eastAsia="仿宋_GB2312"/>
                <w:color w:val="auto"/>
                <w:sz w:val="21"/>
              </w:rPr>
            </w:pPr>
          </w:p>
          <w:p>
            <w:pPr>
              <w:pStyle w:val="14"/>
              <w:snapToGrid w:val="0"/>
              <w:rPr>
                <w:rFonts w:ascii="Times New Roman" w:hAnsi="Times New Roman" w:eastAsia="仿宋_GB2312"/>
                <w:color w:val="auto"/>
                <w:sz w:val="21"/>
              </w:rPr>
            </w:pPr>
          </w:p>
          <w:p>
            <w:pPr>
              <w:pStyle w:val="14"/>
              <w:snapToGrid w:val="0"/>
              <w:rPr>
                <w:rFonts w:ascii="Times New Roman" w:hAnsi="Times New Roman" w:eastAsia="仿宋_GB2312"/>
                <w:color w:val="auto"/>
                <w:sz w:val="21"/>
              </w:rPr>
            </w:pPr>
          </w:p>
          <w:p>
            <w:pPr>
              <w:pStyle w:val="14"/>
              <w:snapToGrid w:val="0"/>
              <w:rPr>
                <w:rFonts w:ascii="Times New Roman" w:hAnsi="Times New Roman" w:eastAsia="仿宋_GB2312"/>
                <w:color w:val="auto"/>
                <w:sz w:val="21"/>
              </w:rPr>
            </w:pPr>
          </w:p>
          <w:p>
            <w:pPr>
              <w:pStyle w:val="14"/>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jc w:val="center"/>
        </w:trPr>
        <w:tc>
          <w:tcPr>
            <w:tcW w:w="8853" w:type="dxa"/>
            <w:gridSpan w:val="11"/>
          </w:tcPr>
          <w:p>
            <w:pPr>
              <w:pStyle w:val="14"/>
              <w:snapToGrid w:val="0"/>
              <w:rPr>
                <w:rFonts w:ascii="Times New Roman" w:hAnsi="Times New Roman" w:eastAsia="仿宋_GB2312"/>
                <w:color w:val="auto"/>
                <w:sz w:val="21"/>
              </w:rPr>
            </w:pPr>
            <w:r>
              <w:rPr>
                <w:rFonts w:hint="eastAsia" w:ascii="Times New Roman" w:hAnsi="Times New Roman" w:eastAsia="黑体"/>
              </w:rPr>
              <w:t>项目基本情况</w:t>
            </w:r>
            <w:r>
              <w:rPr>
                <w:rFonts w:hint="eastAsia" w:ascii="Times New Roman" w:hAnsi="Times New Roman" w:eastAsia="仿宋_GB2312"/>
                <w:color w:val="auto"/>
                <w:sz w:val="21"/>
              </w:rPr>
              <w:t>（总投资、主要建设内容、预期效果等）；并填列下表：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项目</w:t>
            </w:r>
            <w:bookmarkStart w:id="2" w:name="_GoBack"/>
            <w:bookmarkEnd w:id="2"/>
            <w:r>
              <w:rPr>
                <w:rFonts w:hint="eastAsia" w:ascii="黑体" w:hAnsi="黑体" w:eastAsia="黑体" w:cs="黑体"/>
                <w:b/>
                <w:bCs/>
                <w:sz w:val="21"/>
                <w:szCs w:val="21"/>
                <w:lang w:val="en-US" w:eastAsia="zh-CN"/>
              </w:rPr>
              <w:t>目前</w:t>
            </w:r>
            <w:r>
              <w:rPr>
                <w:rFonts w:hint="eastAsia" w:ascii="黑体" w:hAnsi="黑体" w:eastAsia="黑体" w:cs="黑体"/>
                <w:b/>
                <w:bCs/>
                <w:sz w:val="21"/>
                <w:szCs w:val="21"/>
                <w:lang w:val="en-US" w:eastAsia="zh-CN"/>
              </w:rPr>
              <w:t>情况</w:t>
            </w:r>
          </w:p>
          <w:tbl>
            <w:tblPr>
              <w:tblStyle w:val="10"/>
              <w:tblW w:w="5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05"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项目成熟度</w:t>
                  </w:r>
                </w:p>
              </w:tc>
              <w:tc>
                <w:tcPr>
                  <w:tcW w:w="4064"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是否已经完成可研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05"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项目总投资</w:t>
                  </w:r>
                </w:p>
              </w:tc>
              <w:tc>
                <w:tcPr>
                  <w:tcW w:w="4064"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总投资额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05"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项目资本金</w:t>
                  </w:r>
                </w:p>
              </w:tc>
              <w:tc>
                <w:tcPr>
                  <w:tcW w:w="4064"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项目资本金额度</w:t>
                  </w:r>
                </w:p>
              </w:tc>
            </w:tr>
          </w:tbl>
          <w:p>
            <w:pPr>
              <w:pStyle w:val="14"/>
              <w:snapToGrid w:val="0"/>
              <w:rPr>
                <w:rFonts w:ascii="Times New Roman" w:hAnsi="Times New Roman" w:eastAsia="仿宋_GB2312"/>
                <w:color w:val="auto"/>
                <w:sz w:val="21"/>
              </w:rPr>
            </w:pPr>
          </w:p>
          <w:p>
            <w:pPr>
              <w:pStyle w:val="14"/>
              <w:snapToGrid w:val="0"/>
              <w:rPr>
                <w:rFonts w:ascii="Times New Roman" w:hAnsi="Times New Roman" w:eastAsia="仿宋_GB2312"/>
                <w:color w:val="auto"/>
                <w:sz w:val="21"/>
              </w:rPr>
            </w:pPr>
          </w:p>
          <w:p>
            <w:pPr>
              <w:pStyle w:val="14"/>
              <w:snapToGrid w:val="0"/>
              <w:rPr>
                <w:rFonts w:ascii="Times New Roman" w:hAnsi="Times New Roman" w:eastAsia="仿宋_GB2312"/>
                <w:color w:val="auto"/>
                <w:sz w:val="21"/>
              </w:rPr>
            </w:pPr>
          </w:p>
          <w:p>
            <w:pPr>
              <w:pStyle w:val="14"/>
              <w:snapToGrid w:val="0"/>
              <w:rPr>
                <w:rFonts w:ascii="Times New Roman" w:hAnsi="Times New Roman" w:eastAsia="仿宋_GB2312"/>
                <w:color w:val="auto"/>
                <w:sz w:val="21"/>
              </w:rPr>
            </w:pPr>
          </w:p>
          <w:p>
            <w:pPr>
              <w:pStyle w:val="14"/>
              <w:snapToGrid w:val="0"/>
              <w:rPr>
                <w:rFonts w:ascii="Times New Roman" w:hAnsi="Times New Roman" w:eastAsia="仿宋_GB2312"/>
                <w:color w:val="auto"/>
                <w:sz w:val="21"/>
              </w:rPr>
            </w:pPr>
          </w:p>
          <w:p>
            <w:pPr>
              <w:pStyle w:val="14"/>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518" w:type="dxa"/>
            <w:vAlign w:val="center"/>
          </w:tcPr>
          <w:p>
            <w:pPr>
              <w:pStyle w:val="14"/>
              <w:snapToGrid w:val="0"/>
              <w:jc w:val="center"/>
              <w:rPr>
                <w:rFonts w:ascii="Times New Roman" w:hAnsi="Times New Roman" w:eastAsia="黑体"/>
                <w:color w:val="auto"/>
                <w:sz w:val="21"/>
              </w:rPr>
            </w:pPr>
            <w:r>
              <w:rPr>
                <w:rFonts w:ascii="Times New Roman" w:hAnsi="Times New Roman" w:eastAsia="黑体"/>
                <w:color w:val="auto"/>
                <w:sz w:val="21"/>
              </w:rPr>
              <w:t>参与单位</w:t>
            </w:r>
          </w:p>
          <w:p>
            <w:pPr>
              <w:pStyle w:val="14"/>
              <w:snapToGrid w:val="0"/>
              <w:jc w:val="center"/>
              <w:rPr>
                <w:rFonts w:ascii="Times New Roman" w:hAnsi="Times New Roman" w:eastAsia="黑体"/>
                <w:color w:val="auto"/>
                <w:sz w:val="21"/>
              </w:rPr>
            </w:pPr>
            <w:r>
              <w:rPr>
                <w:rFonts w:ascii="Times New Roman" w:hAnsi="Times New Roman" w:eastAsia="黑体"/>
                <w:color w:val="auto"/>
                <w:sz w:val="21"/>
              </w:rPr>
              <w:t>自评意见</w:t>
            </w:r>
          </w:p>
        </w:tc>
        <w:tc>
          <w:tcPr>
            <w:tcW w:w="7335" w:type="dxa"/>
            <w:gridSpan w:val="10"/>
            <w:vAlign w:val="center"/>
          </w:tcPr>
          <w:p>
            <w:pPr>
              <w:pStyle w:val="14"/>
              <w:snapToGrid w:val="0"/>
              <w:rPr>
                <w:rFonts w:ascii="Times New Roman" w:hAnsi="Times New Roman"/>
                <w:color w:val="auto"/>
                <w:sz w:val="21"/>
              </w:rPr>
            </w:pPr>
            <w:r>
              <w:rPr>
                <w:rFonts w:hint="eastAsia" w:ascii="Times New Roman" w:hAnsi="Times New Roman"/>
                <w:color w:val="auto"/>
                <w:sz w:val="21"/>
              </w:rPr>
              <w:t>本单位承诺申报内容真实有效。</w:t>
            </w:r>
          </w:p>
          <w:p>
            <w:pPr>
              <w:pStyle w:val="14"/>
              <w:snapToGrid w:val="0"/>
              <w:rPr>
                <w:rFonts w:ascii="Times New Roman" w:hAnsi="Times New Roman"/>
                <w:color w:val="auto"/>
                <w:sz w:val="21"/>
              </w:rPr>
            </w:pPr>
          </w:p>
          <w:p>
            <w:pPr>
              <w:pStyle w:val="14"/>
              <w:snapToGrid w:val="0"/>
              <w:rPr>
                <w:rFonts w:ascii="Times New Roman" w:hAnsi="Times New Roman" w:eastAsia="仿宋_GB2312"/>
                <w:color w:val="auto"/>
                <w:sz w:val="21"/>
              </w:rPr>
            </w:pPr>
            <w:r>
              <w:rPr>
                <w:rFonts w:ascii="Times New Roman" w:hAnsi="Times New Roman" w:eastAsia="仿宋_GB2312"/>
                <w:color w:val="auto"/>
                <w:sz w:val="21"/>
              </w:rPr>
              <w:t xml:space="preserve">                  法定代表人（签字）</w:t>
            </w:r>
            <w:r>
              <w:rPr>
                <w:rFonts w:hint="eastAsia" w:ascii="Times New Roman" w:hAnsi="Times New Roman" w:eastAsia="仿宋_GB2312"/>
                <w:color w:val="auto"/>
                <w:sz w:val="21"/>
              </w:rPr>
              <w:t>：</w:t>
            </w:r>
            <w:r>
              <w:rPr>
                <w:rFonts w:ascii="Times New Roman" w:hAnsi="Times New Roman" w:eastAsia="仿宋_GB2312"/>
                <w:color w:val="auto"/>
                <w:sz w:val="21"/>
              </w:rPr>
              <w:t xml:space="preserve">   （盖章）</w:t>
            </w:r>
          </w:p>
          <w:p>
            <w:pPr>
              <w:pStyle w:val="14"/>
              <w:snapToGrid w:val="0"/>
              <w:rPr>
                <w:rFonts w:ascii="Times New Roman" w:hAnsi="Times New Roman"/>
              </w:rPr>
            </w:pPr>
            <w:r>
              <w:rPr>
                <w:rFonts w:ascii="Times New Roman" w:hAnsi="Times New Roman" w:eastAsia="仿宋_GB2312"/>
                <w:color w:val="auto"/>
                <w:sz w:val="21"/>
              </w:rPr>
              <w:t xml:space="preserve">                                            年   月   日</w:t>
            </w:r>
          </w:p>
        </w:tc>
      </w:tr>
    </w:tbl>
    <w:p>
      <w:pPr>
        <w:spacing w:line="460" w:lineRule="exact"/>
        <w:ind w:left="420" w:leftChars="200"/>
        <w:rPr>
          <w:rFonts w:eastAsia="仿宋_GB2312"/>
          <w:sz w:val="28"/>
          <w:szCs w:val="28"/>
        </w:rPr>
      </w:pPr>
    </w:p>
    <w:sectPr>
      <w:headerReference r:id="rId5" w:type="default"/>
      <w:footerReference r:id="rId6" w:type="default"/>
      <w:pgSz w:w="11906" w:h="16838"/>
      <w:pgMar w:top="1587"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altName w:val="Shruti"/>
    <w:panose1 w:val="02040503050406030204"/>
    <w:charset w:val="00"/>
    <w:family w:val="modern"/>
    <w:pitch w:val="default"/>
    <w:sig w:usb0="00000000" w:usb1="00000000" w:usb2="00000000" w:usb3="00000000" w:csb0="0000019F" w:csb1="00000000"/>
  </w:font>
  <w:font w:name="Calibri">
    <w:altName w:val="Century Gothic"/>
    <w:panose1 w:val="020F0502020204030204"/>
    <w:charset w:val="00"/>
    <w:family w:val="decorative"/>
    <w:pitch w:val="default"/>
    <w:sig w:usb0="00000000" w:usb1="00000000" w:usb2="00000001" w:usb3="00000000" w:csb0="0000019F" w:csb1="00000000"/>
  </w:font>
  <w:font w:name="Century Gothic">
    <w:panose1 w:val="020B0502020202020204"/>
    <w:charset w:val="00"/>
    <w:family w:val="decorative"/>
    <w:pitch w:val="default"/>
    <w:sig w:usb0="00000287" w:usb1="00000000" w:usb2="00000000" w:usb3="00000000" w:csb0="2000009F" w:csb1="DFD70000"/>
  </w:font>
  <w:font w:name="Cambria">
    <w:altName w:val="Shruti"/>
    <w:panose1 w:val="02040503050406030204"/>
    <w:charset w:val="00"/>
    <w:family w:val="swiss"/>
    <w:pitch w:val="default"/>
    <w:sig w:usb0="00000000" w:usb1="00000000" w:usb2="00000000" w:usb3="00000000" w:csb0="0000019F" w:csb1="00000000"/>
  </w:font>
  <w:font w:name="Calibri">
    <w:altName w:val="Century Gothic"/>
    <w:panose1 w:val="020F0502020204030204"/>
    <w:charset w:val="00"/>
    <w:family w:val="roman"/>
    <w:pitch w:val="default"/>
    <w:sig w:usb0="00000000" w:usb1="00000000" w:usb2="00000001" w:usb3="00000000" w:csb0="0000019F" w:csb1="00000000"/>
  </w:font>
  <w:font w:name="Century Gothic">
    <w:panose1 w:val="020B0502020202020204"/>
    <w:charset w:val="00"/>
    <w:family w:val="roman"/>
    <w:pitch w:val="default"/>
    <w:sig w:usb0="00000287" w:usb1="00000000" w:usb2="00000000" w:usb3="00000000" w:csb0="2000009F" w:csb1="DFD70000"/>
  </w:font>
  <w:font w:name="Cambria">
    <w:altName w:val="Shruti"/>
    <w:panose1 w:val="02040503050406030204"/>
    <w:charset w:val="00"/>
    <w:family w:val="decorative"/>
    <w:pitch w:val="default"/>
    <w:sig w:usb0="00000000" w:usb1="00000000" w:usb2="00000000" w:usb3="00000000" w:csb0="0000019F" w:csb1="00000000"/>
  </w:font>
  <w:font w:name="Calibri">
    <w:altName w:val="Century Gothic"/>
    <w:panose1 w:val="020F0502020204030204"/>
    <w:charset w:val="00"/>
    <w:family w:val="modern"/>
    <w:pitch w:val="default"/>
    <w:sig w:usb0="00000000" w:usb1="00000000" w:usb2="00000001" w:usb3="00000000" w:csb0="0000019F" w:csb1="00000000"/>
  </w:font>
  <w:font w:name="Century Gothic">
    <w:panose1 w:val="020B0502020202020204"/>
    <w:charset w:val="00"/>
    <w:family w:val="modern"/>
    <w:pitch w:val="default"/>
    <w:sig w:usb0="00000287" w:usb1="00000000" w:usb2="00000000" w:usb3="00000000" w:csb0="2000009F" w:csb1="DFD70000"/>
  </w:font>
  <w:font w:name="黑体">
    <w:panose1 w:val="02010600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Sylfaen">
    <w:panose1 w:val="010A0502050306030303"/>
    <w:charset w:val="00"/>
    <w:family w:val="modern"/>
    <w:pitch w:val="default"/>
    <w:sig w:usb0="04000687" w:usb1="00000000" w:usb2="00000000" w:usb3="00000000" w:csb0="2000009F" w:csb1="00000000"/>
  </w:font>
  <w:font w:name="Arial">
    <w:panose1 w:val="020B0604020202020204"/>
    <w:charset w:val="00"/>
    <w:family w:val="auto"/>
    <w:pitch w:val="default"/>
    <w:sig w:usb0="00007A87" w:usb1="80000000" w:usb2="00000008" w:usb3="00000000" w:csb0="400001FF" w:csb1="FFFF0000"/>
  </w:font>
  <w:font w:name="Shruti">
    <w:panose1 w:val="02000500000000000000"/>
    <w:charset w:val="00"/>
    <w:family w:val="modern"/>
    <w:pitch w:val="default"/>
    <w:sig w:usb0="00040000" w:usb1="00000000" w:usb2="00000000" w:usb3="00000000" w:csb0="00000000" w:csb1="00000000"/>
  </w:font>
  <w:font w:name="黑体">
    <w:panose1 w:val="02010600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Sylfaen">
    <w:panose1 w:val="010A0502050306030303"/>
    <w:charset w:val="00"/>
    <w:family w:val="swiss"/>
    <w:pitch w:val="default"/>
    <w:sig w:usb0="04000687" w:usb1="00000000" w:usb2="00000000" w:usb3="00000000" w:csb0="2000009F" w:csb1="00000000"/>
  </w:font>
  <w:font w:name="Shruti">
    <w:panose1 w:val="02000500000000000000"/>
    <w:charset w:val="00"/>
    <w:family w:val="swiss"/>
    <w:pitch w:val="default"/>
    <w:sig w:usb0="00040000" w:usb1="00000000" w:usb2="00000000" w:usb3="00000000" w:csb0="00000000" w:csb1="00000000"/>
  </w:font>
  <w:font w:name="黑体">
    <w:panose1 w:val="02010600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Sylfaen">
    <w:panose1 w:val="010A0502050306030303"/>
    <w:charset w:val="00"/>
    <w:family w:val="decorative"/>
    <w:pitch w:val="default"/>
    <w:sig w:usb0="04000687" w:usb1="00000000" w:usb2="00000000" w:usb3="00000000" w:csb0="2000009F" w:csb1="00000000"/>
  </w:font>
  <w:font w:name="Shruti">
    <w:panose1 w:val="02000500000000000000"/>
    <w:charset w:val="00"/>
    <w:family w:val="decorative"/>
    <w:pitch w:val="default"/>
    <w:sig w:usb0="00040000" w:usb1="00000000" w:usb2="00000000" w:usb3="00000000" w:csb0="00000000" w:csb1="00000000"/>
  </w:font>
  <w:font w:name="黑体">
    <w:panose1 w:val="02010600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ylfaen">
    <w:panose1 w:val="010A0502050306030303"/>
    <w:charset w:val="00"/>
    <w:family w:val="roman"/>
    <w:pitch w:val="default"/>
    <w:sig w:usb0="04000687" w:usb1="00000000" w:usb2="00000000" w:usb3="00000000" w:csb0="2000009F" w:csb1="00000000"/>
  </w:font>
  <w:font w:name="Shruti">
    <w:panose1 w:val="02000500000000000000"/>
    <w:charset w:val="00"/>
    <w:family w:val="roman"/>
    <w:pitch w:val="default"/>
    <w:sig w:usb0="0004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华文仿宋">
    <w:panose1 w:val="02010600040101010101"/>
    <w:charset w:val="50"/>
    <w:family w:val="auto"/>
    <w:pitch w:val="default"/>
    <w:sig w:usb0="00000287" w:usb1="080F0000" w:usb2="00000000" w:usb3="00000000" w:csb0="0004009F" w:csb1="DFD70000"/>
  </w:font>
  <w:font w:name="仿宋">
    <w:altName w:val="仿宋_GB2312"/>
    <w:panose1 w:val="02010609060101010101"/>
    <w:charset w:val="86"/>
    <w:family w:val="swiss"/>
    <w:pitch w:val="default"/>
    <w:sig w:usb0="00000000" w:usb1="00000000" w:usb2="00000016"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仿宋">
    <w:altName w:val="仿宋_GB2312"/>
    <w:panose1 w:val="02010609060101010101"/>
    <w:charset w:val="86"/>
    <w:family w:val="roma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仿宋">
    <w:altName w:val="仿宋_GB2312"/>
    <w:panose1 w:val="02010609060101010101"/>
    <w:charset w:val="86"/>
    <w:family w:val="decorative"/>
    <w:pitch w:val="default"/>
    <w:sig w:usb0="00000000" w:usb1="00000000" w:usb2="00000016" w:usb3="00000000" w:csb0="00040001" w:csb1="00000000"/>
  </w:font>
  <w:font w:name="Lucida Sans Unicode">
    <w:panose1 w:val="020B0602030504020204"/>
    <w:charset w:val="00"/>
    <w:family w:val="roman"/>
    <w:pitch w:val="default"/>
    <w:sig w:usb0="80001AFF" w:usb1="0000396B" w:usb2="00000000" w:usb3="00000000" w:csb0="0000003F" w:csb1="D7F70000"/>
  </w:font>
  <w:font w:name="Lucida Sans Unicode">
    <w:panose1 w:val="020B0602030504020204"/>
    <w:charset w:val="00"/>
    <w:family w:val="modern"/>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Tahoma">
    <w:panose1 w:val="020B0604030504040204"/>
    <w:charset w:val="00"/>
    <w:family w:val="auto"/>
    <w:pitch w:val="default"/>
    <w:sig w:usb0="61007A87" w:usb1="80000000" w:usb2="00000008" w:usb3="00000000" w:csb0="200101FF" w:csb1="20280000"/>
  </w:font>
  <w:font w:name="+西文正文">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等线">
    <w:altName w:val="宋体"/>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decorative"/>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roman"/>
    <w:pitch w:val="default"/>
    <w:sig w:usb0="00000000" w:usb1="00000000" w:usb2="00000016" w:usb3="00000000" w:csb0="00040001" w:csb1="00000000"/>
  </w:font>
  <w:font w:name="黑体">
    <w:panose1 w:val="02010600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楷体">
    <w:altName w:val="楷体_GB2312"/>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swiss"/>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pict>
        <v:shape id="_x0000_s4097" o:spid="_x0000_s4097"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pict>
        <v:shape id="Quad Arrow 2049" o:spid="_x0000_s4098"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top w:val="none" w:color="auto" w:sz="0" w:space="1"/>
        <w:left w:val="none" w:color="auto" w:sz="0" w:space="4"/>
        <w:bottom w:val="none" w:color="auto" w:sz="0" w:space="1"/>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1056404">
    <w:nsid w:val="59784D94"/>
    <w:multiLevelType w:val="singleLevel"/>
    <w:tmpl w:val="59784D94"/>
    <w:lvl w:ilvl="0" w:tentative="1">
      <w:start w:val="1"/>
      <w:numFmt w:val="chineseCounting"/>
      <w:suff w:val="nothing"/>
      <w:lvlText w:val="%1、"/>
      <w:lvlJc w:val="left"/>
    </w:lvl>
  </w:abstractNum>
  <w:abstractNum w:abstractNumId="1501516325">
    <w:nsid w:val="597F5225"/>
    <w:multiLevelType w:val="singleLevel"/>
    <w:tmpl w:val="597F5225"/>
    <w:lvl w:ilvl="0" w:tentative="1">
      <w:start w:val="1"/>
      <w:numFmt w:val="chineseCounting"/>
      <w:suff w:val="nothing"/>
      <w:lvlText w:val="（%1）"/>
      <w:lvlJc w:val="left"/>
      <w:pPr>
        <w:ind w:left="0" w:firstLine="420"/>
      </w:pPr>
      <w:rPr>
        <w:rFonts w:hint="eastAsia"/>
      </w:rPr>
    </w:lvl>
  </w:abstractNum>
  <w:abstractNum w:abstractNumId="1501516458">
    <w:nsid w:val="597F52AA"/>
    <w:multiLevelType w:val="singleLevel"/>
    <w:tmpl w:val="597F52AA"/>
    <w:lvl w:ilvl="0" w:tentative="1">
      <w:start w:val="1"/>
      <w:numFmt w:val="decimal"/>
      <w:suff w:val="nothing"/>
      <w:lvlText w:val="%1．"/>
      <w:lvlJc w:val="left"/>
      <w:pPr>
        <w:ind w:left="0" w:firstLine="400"/>
      </w:pPr>
      <w:rPr>
        <w:rFonts w:hint="default"/>
      </w:rPr>
    </w:lvl>
  </w:abstractNum>
  <w:abstractNum w:abstractNumId="1501516430">
    <w:nsid w:val="597F528E"/>
    <w:multiLevelType w:val="singleLevel"/>
    <w:tmpl w:val="597F528E"/>
    <w:lvl w:ilvl="0" w:tentative="1">
      <w:start w:val="1"/>
      <w:numFmt w:val="decimal"/>
      <w:suff w:val="nothing"/>
      <w:lvlText w:val="%1．"/>
      <w:lvlJc w:val="left"/>
      <w:pPr>
        <w:ind w:left="0" w:firstLine="400"/>
      </w:pPr>
      <w:rPr>
        <w:rFonts w:hint="default"/>
      </w:rPr>
    </w:lvl>
  </w:abstractNum>
  <w:abstractNum w:abstractNumId="1501592784">
    <w:nsid w:val="59807CD0"/>
    <w:multiLevelType w:val="singleLevel"/>
    <w:tmpl w:val="59807CD0"/>
    <w:lvl w:ilvl="0" w:tentative="1">
      <w:start w:val="1"/>
      <w:numFmt w:val="decimal"/>
      <w:suff w:val="nothing"/>
      <w:lvlText w:val="（%1）"/>
      <w:lvlJc w:val="left"/>
    </w:lvl>
  </w:abstractNum>
  <w:abstractNum w:abstractNumId="1501516387">
    <w:nsid w:val="597F5263"/>
    <w:multiLevelType w:val="singleLevel"/>
    <w:tmpl w:val="597F5263"/>
    <w:lvl w:ilvl="0" w:tentative="1">
      <w:start w:val="1"/>
      <w:numFmt w:val="decimal"/>
      <w:suff w:val="nothing"/>
      <w:lvlText w:val="%1．"/>
      <w:lvlJc w:val="left"/>
      <w:pPr>
        <w:ind w:left="0" w:firstLine="400"/>
      </w:pPr>
      <w:rPr>
        <w:rFonts w:hint="default"/>
      </w:rPr>
    </w:lvl>
  </w:abstractNum>
  <w:abstractNum w:abstractNumId="1501515486">
    <w:nsid w:val="597F4EDE"/>
    <w:multiLevelType w:val="singleLevel"/>
    <w:tmpl w:val="597F4EDE"/>
    <w:lvl w:ilvl="0" w:tentative="1">
      <w:start w:val="1"/>
      <w:numFmt w:val="decimal"/>
      <w:suff w:val="nothing"/>
      <w:lvlText w:val="%1."/>
      <w:lvlJc w:val="left"/>
    </w:lvl>
  </w:abstractNum>
  <w:num w:numId="1">
    <w:abstractNumId w:val="1501056404"/>
  </w:num>
  <w:num w:numId="2">
    <w:abstractNumId w:val="1501516325"/>
  </w:num>
  <w:num w:numId="3">
    <w:abstractNumId w:val="1501516387"/>
  </w:num>
  <w:num w:numId="4">
    <w:abstractNumId w:val="1501516430"/>
  </w:num>
  <w:num w:numId="5">
    <w:abstractNumId w:val="1501516458"/>
  </w:num>
  <w:num w:numId="6">
    <w:abstractNumId w:val="1501592784"/>
  </w:num>
  <w:num w:numId="7">
    <w:abstractNumId w:val="15015154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AA0"/>
    <w:rsid w:val="00015CAB"/>
    <w:rsid w:val="00051017"/>
    <w:rsid w:val="000942FD"/>
    <w:rsid w:val="000C6968"/>
    <w:rsid w:val="000C6E1D"/>
    <w:rsid w:val="000E359D"/>
    <w:rsid w:val="00144F57"/>
    <w:rsid w:val="00184A01"/>
    <w:rsid w:val="001C05E3"/>
    <w:rsid w:val="00235F03"/>
    <w:rsid w:val="00250233"/>
    <w:rsid w:val="002E07DA"/>
    <w:rsid w:val="00332B85"/>
    <w:rsid w:val="00336DFE"/>
    <w:rsid w:val="00374C83"/>
    <w:rsid w:val="003A7AEB"/>
    <w:rsid w:val="003E6244"/>
    <w:rsid w:val="0040014C"/>
    <w:rsid w:val="00406DF1"/>
    <w:rsid w:val="004118D2"/>
    <w:rsid w:val="00434E9E"/>
    <w:rsid w:val="004454C4"/>
    <w:rsid w:val="004736AC"/>
    <w:rsid w:val="0048316F"/>
    <w:rsid w:val="004E2454"/>
    <w:rsid w:val="004F7177"/>
    <w:rsid w:val="00502214"/>
    <w:rsid w:val="005C2632"/>
    <w:rsid w:val="006B0CD5"/>
    <w:rsid w:val="006F47E8"/>
    <w:rsid w:val="00795CD8"/>
    <w:rsid w:val="007F60CF"/>
    <w:rsid w:val="00857208"/>
    <w:rsid w:val="008B3226"/>
    <w:rsid w:val="009400B9"/>
    <w:rsid w:val="009553E6"/>
    <w:rsid w:val="009B7673"/>
    <w:rsid w:val="009E337D"/>
    <w:rsid w:val="00A14A62"/>
    <w:rsid w:val="00A15468"/>
    <w:rsid w:val="00A379F0"/>
    <w:rsid w:val="00A86342"/>
    <w:rsid w:val="00AD129A"/>
    <w:rsid w:val="00AE77D1"/>
    <w:rsid w:val="00BC4961"/>
    <w:rsid w:val="00C43907"/>
    <w:rsid w:val="00CA355D"/>
    <w:rsid w:val="00CB4836"/>
    <w:rsid w:val="00CE1A36"/>
    <w:rsid w:val="00D71A65"/>
    <w:rsid w:val="00F607C9"/>
    <w:rsid w:val="00FB3AA0"/>
    <w:rsid w:val="0186020E"/>
    <w:rsid w:val="027A3CC3"/>
    <w:rsid w:val="028176CC"/>
    <w:rsid w:val="02CA1A1F"/>
    <w:rsid w:val="02F538E8"/>
    <w:rsid w:val="03F20308"/>
    <w:rsid w:val="03F4071D"/>
    <w:rsid w:val="041617C1"/>
    <w:rsid w:val="0416504E"/>
    <w:rsid w:val="04847877"/>
    <w:rsid w:val="04BB57D2"/>
    <w:rsid w:val="04BB6D2A"/>
    <w:rsid w:val="05284C8E"/>
    <w:rsid w:val="05F46388"/>
    <w:rsid w:val="06A27BF1"/>
    <w:rsid w:val="077730CD"/>
    <w:rsid w:val="096C2283"/>
    <w:rsid w:val="0AC460B7"/>
    <w:rsid w:val="0C9D11C1"/>
    <w:rsid w:val="0EF05350"/>
    <w:rsid w:val="0F6E4D38"/>
    <w:rsid w:val="0FA35C35"/>
    <w:rsid w:val="0FEC3AAB"/>
    <w:rsid w:val="104457BF"/>
    <w:rsid w:val="10DF7BBC"/>
    <w:rsid w:val="10F76794"/>
    <w:rsid w:val="11807745"/>
    <w:rsid w:val="11AE0768"/>
    <w:rsid w:val="121247E0"/>
    <w:rsid w:val="12124AB5"/>
    <w:rsid w:val="12DE15D7"/>
    <w:rsid w:val="13110DD5"/>
    <w:rsid w:val="14445CCF"/>
    <w:rsid w:val="14B4154E"/>
    <w:rsid w:val="14C120A7"/>
    <w:rsid w:val="151627A4"/>
    <w:rsid w:val="153D11EC"/>
    <w:rsid w:val="16864F84"/>
    <w:rsid w:val="179D474C"/>
    <w:rsid w:val="19846B6B"/>
    <w:rsid w:val="19D96275"/>
    <w:rsid w:val="1AE844B6"/>
    <w:rsid w:val="1B464203"/>
    <w:rsid w:val="1BE93A56"/>
    <w:rsid w:val="1C3E7EFA"/>
    <w:rsid w:val="1CFD04B4"/>
    <w:rsid w:val="1D754862"/>
    <w:rsid w:val="1E7F2796"/>
    <w:rsid w:val="1EC24504"/>
    <w:rsid w:val="1EC55022"/>
    <w:rsid w:val="1F4D1EEA"/>
    <w:rsid w:val="1F6C111A"/>
    <w:rsid w:val="1FD0114C"/>
    <w:rsid w:val="202C1558"/>
    <w:rsid w:val="203E5DA7"/>
    <w:rsid w:val="20633C30"/>
    <w:rsid w:val="20986689"/>
    <w:rsid w:val="20A13715"/>
    <w:rsid w:val="2163185D"/>
    <w:rsid w:val="21765602"/>
    <w:rsid w:val="219A3A50"/>
    <w:rsid w:val="221E3F06"/>
    <w:rsid w:val="22C75DD6"/>
    <w:rsid w:val="22F80638"/>
    <w:rsid w:val="237F064A"/>
    <w:rsid w:val="23C76B72"/>
    <w:rsid w:val="24504374"/>
    <w:rsid w:val="247C2AEC"/>
    <w:rsid w:val="249D0C55"/>
    <w:rsid w:val="25B305EA"/>
    <w:rsid w:val="25C81489"/>
    <w:rsid w:val="25F2004C"/>
    <w:rsid w:val="26903450"/>
    <w:rsid w:val="26BB597A"/>
    <w:rsid w:val="274A6102"/>
    <w:rsid w:val="280E540E"/>
    <w:rsid w:val="28A11F36"/>
    <w:rsid w:val="28C518DA"/>
    <w:rsid w:val="28EB146D"/>
    <w:rsid w:val="296B557D"/>
    <w:rsid w:val="2AEE3D21"/>
    <w:rsid w:val="2BA970F0"/>
    <w:rsid w:val="2C680FE8"/>
    <w:rsid w:val="2DC25DA1"/>
    <w:rsid w:val="31930FE5"/>
    <w:rsid w:val="31B63A9D"/>
    <w:rsid w:val="31BB2CC7"/>
    <w:rsid w:val="31DC6E5B"/>
    <w:rsid w:val="32273C28"/>
    <w:rsid w:val="330D2A50"/>
    <w:rsid w:val="33C83183"/>
    <w:rsid w:val="344D70E3"/>
    <w:rsid w:val="345E10F8"/>
    <w:rsid w:val="35B63925"/>
    <w:rsid w:val="376D09FB"/>
    <w:rsid w:val="3808667B"/>
    <w:rsid w:val="381E340C"/>
    <w:rsid w:val="3B00415A"/>
    <w:rsid w:val="3C0C6F4E"/>
    <w:rsid w:val="3C0E4317"/>
    <w:rsid w:val="3C240A39"/>
    <w:rsid w:val="3E076650"/>
    <w:rsid w:val="3E6B6375"/>
    <w:rsid w:val="3F676C24"/>
    <w:rsid w:val="3FAA101F"/>
    <w:rsid w:val="3FD9148B"/>
    <w:rsid w:val="40543C97"/>
    <w:rsid w:val="40D52E34"/>
    <w:rsid w:val="40F66344"/>
    <w:rsid w:val="411B67E1"/>
    <w:rsid w:val="41220E6C"/>
    <w:rsid w:val="4137558E"/>
    <w:rsid w:val="417575F2"/>
    <w:rsid w:val="41D711DB"/>
    <w:rsid w:val="41F060A9"/>
    <w:rsid w:val="41F72149"/>
    <w:rsid w:val="42BD5F68"/>
    <w:rsid w:val="42D417A1"/>
    <w:rsid w:val="43FE4A9D"/>
    <w:rsid w:val="44593EB2"/>
    <w:rsid w:val="44644441"/>
    <w:rsid w:val="446F49BB"/>
    <w:rsid w:val="44B52F47"/>
    <w:rsid w:val="44F94935"/>
    <w:rsid w:val="45EE436C"/>
    <w:rsid w:val="460D0F7A"/>
    <w:rsid w:val="46610A04"/>
    <w:rsid w:val="46714521"/>
    <w:rsid w:val="46C8475E"/>
    <w:rsid w:val="471B368C"/>
    <w:rsid w:val="472069EE"/>
    <w:rsid w:val="47B944B8"/>
    <w:rsid w:val="48043633"/>
    <w:rsid w:val="4843441C"/>
    <w:rsid w:val="487923E8"/>
    <w:rsid w:val="487C1FF8"/>
    <w:rsid w:val="49092EE1"/>
    <w:rsid w:val="491D5404"/>
    <w:rsid w:val="493C57C4"/>
    <w:rsid w:val="497F17F3"/>
    <w:rsid w:val="49B145F3"/>
    <w:rsid w:val="4A3D66E2"/>
    <w:rsid w:val="4A6D27A8"/>
    <w:rsid w:val="4A8B676B"/>
    <w:rsid w:val="4ADE3D60"/>
    <w:rsid w:val="4AE14CE5"/>
    <w:rsid w:val="4C5C0CF7"/>
    <w:rsid w:val="4C7E5A0B"/>
    <w:rsid w:val="4CA542F4"/>
    <w:rsid w:val="4D1E7B13"/>
    <w:rsid w:val="4D686C8D"/>
    <w:rsid w:val="4D9B0E50"/>
    <w:rsid w:val="4DC075F0"/>
    <w:rsid w:val="4DE578DC"/>
    <w:rsid w:val="4E0D2E4A"/>
    <w:rsid w:val="4E18259D"/>
    <w:rsid w:val="4E1B4533"/>
    <w:rsid w:val="4E24727E"/>
    <w:rsid w:val="4E676BB0"/>
    <w:rsid w:val="4EC826F5"/>
    <w:rsid w:val="4FF31BBA"/>
    <w:rsid w:val="503D150A"/>
    <w:rsid w:val="51560911"/>
    <w:rsid w:val="515F6B11"/>
    <w:rsid w:val="51E72E82"/>
    <w:rsid w:val="52A46B89"/>
    <w:rsid w:val="53C85A03"/>
    <w:rsid w:val="53DC07BE"/>
    <w:rsid w:val="556131C1"/>
    <w:rsid w:val="55B961B3"/>
    <w:rsid w:val="56B43E4C"/>
    <w:rsid w:val="57195401"/>
    <w:rsid w:val="57CB6E97"/>
    <w:rsid w:val="58EE5CF5"/>
    <w:rsid w:val="59234C9A"/>
    <w:rsid w:val="5A554343"/>
    <w:rsid w:val="5AD374DE"/>
    <w:rsid w:val="5AF50649"/>
    <w:rsid w:val="5B4D6AD9"/>
    <w:rsid w:val="5DB46EC8"/>
    <w:rsid w:val="5E0D665D"/>
    <w:rsid w:val="5F701B31"/>
    <w:rsid w:val="60256ADC"/>
    <w:rsid w:val="60A04417"/>
    <w:rsid w:val="60BE0144"/>
    <w:rsid w:val="610D6FCA"/>
    <w:rsid w:val="615B12C7"/>
    <w:rsid w:val="61E7472F"/>
    <w:rsid w:val="62090166"/>
    <w:rsid w:val="628110AA"/>
    <w:rsid w:val="62BE310D"/>
    <w:rsid w:val="62D00E29"/>
    <w:rsid w:val="62D81AB9"/>
    <w:rsid w:val="63267639"/>
    <w:rsid w:val="63876F31"/>
    <w:rsid w:val="6389143A"/>
    <w:rsid w:val="64B018BD"/>
    <w:rsid w:val="64BE0654"/>
    <w:rsid w:val="64F64031"/>
    <w:rsid w:val="66293129"/>
    <w:rsid w:val="67187034"/>
    <w:rsid w:val="678D07F2"/>
    <w:rsid w:val="67EA0B8C"/>
    <w:rsid w:val="68954F40"/>
    <w:rsid w:val="68A4383E"/>
    <w:rsid w:val="68B43AD8"/>
    <w:rsid w:val="69075AE0"/>
    <w:rsid w:val="69A81DE6"/>
    <w:rsid w:val="69B82081"/>
    <w:rsid w:val="69D86E6B"/>
    <w:rsid w:val="69F51EE6"/>
    <w:rsid w:val="6B876DF9"/>
    <w:rsid w:val="6BC65827"/>
    <w:rsid w:val="6BE84A7D"/>
    <w:rsid w:val="6CEF50C6"/>
    <w:rsid w:val="6DD94706"/>
    <w:rsid w:val="6E437F76"/>
    <w:rsid w:val="6EA64D9F"/>
    <w:rsid w:val="6EAF1936"/>
    <w:rsid w:val="6F32657A"/>
    <w:rsid w:val="6FEB37AA"/>
    <w:rsid w:val="70A409DA"/>
    <w:rsid w:val="70A74850"/>
    <w:rsid w:val="712F0176"/>
    <w:rsid w:val="715352FB"/>
    <w:rsid w:val="71CA07BD"/>
    <w:rsid w:val="72EA6696"/>
    <w:rsid w:val="730B244E"/>
    <w:rsid w:val="73497EBC"/>
    <w:rsid w:val="74A96A99"/>
    <w:rsid w:val="75244CBB"/>
    <w:rsid w:val="77BD201F"/>
    <w:rsid w:val="77E757C4"/>
    <w:rsid w:val="7904051A"/>
    <w:rsid w:val="79492F01"/>
    <w:rsid w:val="798619ED"/>
    <w:rsid w:val="79E82E42"/>
    <w:rsid w:val="7A256073"/>
    <w:rsid w:val="7A7810EF"/>
    <w:rsid w:val="7A905722"/>
    <w:rsid w:val="7B0556E1"/>
    <w:rsid w:val="7B4464CB"/>
    <w:rsid w:val="7B754A9B"/>
    <w:rsid w:val="7D1B284D"/>
    <w:rsid w:val="7DD16AF9"/>
    <w:rsid w:val="7DF50FEE"/>
    <w:rsid w:val="7E125364"/>
    <w:rsid w:val="7E6A37F4"/>
    <w:rsid w:val="7F284EA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99"/>
  </w:style>
  <w:style w:type="character" w:styleId="8">
    <w:name w:val="annotation reference"/>
    <w:unhideWhenUsed/>
    <w:uiPriority w:val="99"/>
    <w:rPr>
      <w:sz w:val="21"/>
      <w:szCs w:val="21"/>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1 Char"/>
    <w:basedOn w:val="1"/>
    <w:qFormat/>
    <w:uiPriority w:val="0"/>
  </w:style>
  <w:style w:type="paragraph" w:customStyle="1" w:styleId="12">
    <w:name w:val="列出段落1"/>
    <w:basedOn w:val="1"/>
    <w:qFormat/>
    <w:uiPriority w:val="99"/>
    <w:pPr>
      <w:ind w:firstLine="420" w:firstLineChars="200"/>
    </w:pPr>
  </w:style>
  <w:style w:type="paragraph" w:customStyle="1" w:styleId="13">
    <w:name w:val="Title1"/>
    <w:qFormat/>
    <w:uiPriority w:val="0"/>
    <w:pPr>
      <w:jc w:val="center"/>
    </w:pPr>
    <w:rPr>
      <w:rFonts w:ascii="Calibri" w:hAnsi="Calibri" w:eastAsia="黑体" w:cs="黑体"/>
      <w:kern w:val="2"/>
      <w:sz w:val="44"/>
      <w:szCs w:val="22"/>
      <w:lang w:val="en-US" w:eastAsia="zh-CN" w:bidi="ar-SA"/>
    </w:rPr>
  </w:style>
  <w:style w:type="paragraph" w:customStyle="1" w:styleId="14">
    <w:name w:val="表格"/>
    <w:basedOn w:val="1"/>
    <w:qFormat/>
    <w:uiPriority w:val="0"/>
    <w:pPr>
      <w:widowControl/>
    </w:pPr>
    <w:rPr>
      <w:rFonts w:ascii="宋体" w:hAnsi="宋体" w:eastAsia="等线"/>
      <w:color w:val="000000"/>
      <w:kern w:val="0"/>
      <w:sz w:val="18"/>
      <w:szCs w:val="22"/>
    </w:rPr>
  </w:style>
  <w:style w:type="character" w:customStyle="1" w:styleId="15">
    <w:name w:val="页眉 Char"/>
    <w:link w:val="5"/>
    <w:semiHidden/>
    <w:qFormat/>
    <w:uiPriority w:val="99"/>
    <w:rPr>
      <w:sz w:val="18"/>
      <w:szCs w:val="18"/>
    </w:rPr>
  </w:style>
  <w:style w:type="character" w:customStyle="1" w:styleId="16">
    <w:name w:val="页脚 Char"/>
    <w:link w:val="4"/>
    <w:semiHidden/>
    <w:qFormat/>
    <w:uiPriority w:val="99"/>
    <w:rPr>
      <w:sz w:val="18"/>
      <w:szCs w:val="18"/>
    </w:rPr>
  </w:style>
  <w:style w:type="character" w:customStyle="1" w:styleId="17">
    <w:name w:val="批注框文本 Char"/>
    <w:link w:val="3"/>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723</Words>
  <Characters>4127</Characters>
  <Lines>34</Lines>
  <Paragraphs>9</Paragraphs>
  <ScaleCrop>false</ScaleCrop>
  <LinksUpToDate>false</LinksUpToDate>
  <CharactersWithSpaces>4841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2017-07-26T01:21:00Z</dcterms:created>
  <dc:creator>lv</dc:creator>
  <cp:lastModifiedBy>冉亮</cp:lastModifiedBy>
  <dcterms:modified xsi:type="dcterms:W3CDTF">2017-08-24T14:02:49Z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